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3"/>
        <w:spacing w:before="120" w:beforeAutospacing="0" w:after="120" w:afterAutospacing="0" w:line="360" w:lineRule="auto"/>
      </w:pPr>
      <w:r>
        <w:t xml:space="preserve"> </w:t>
      </w:r>
      <w:r/>
    </w:p>
    <w:p>
      <w:pPr>
        <w:pStyle w:val="643"/>
        <w:jc w:val="center"/>
        <w:spacing w:before="120" w:beforeAutospacing="0" w:after="120" w:afterAutospacing="0" w:line="360" w:lineRule="auto"/>
      </w:pPr>
      <w:r>
        <w:rPr>
          <w:rFonts w:ascii="Arial" w:hAnsi="Arial" w:cs="Arial"/>
          <w:b/>
          <w:sz w:val="84"/>
          <w:szCs w:val="84"/>
        </w:rPr>
        <w:t xml:space="preserve">招 标 文 件</w:t>
      </w:r>
      <w:r/>
    </w:p>
    <w:p>
      <w:pPr>
        <w:pStyle w:val="643"/>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43"/>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43"/>
        <w:spacing w:before="120" w:beforeAutospacing="0" w:after="120" w:afterAutospacing="0" w:line="360" w:lineRule="auto"/>
        <w:rPr>
          <w:rFonts w:hint="eastAsia" w:ascii="Arial" w:hAnsi="Arial" w:cs="Arial" w:eastAsiaTheme="minorEastAsia"/>
          <w:b/>
          <w:sz w:val="32"/>
          <w:szCs w:val="32"/>
          <w:lang w:eastAsia="zh-CN"/>
        </w:rPr>
      </w:pPr>
      <w:r>
        <w:rPr>
          <w:rFonts w:ascii="Arial" w:hAnsi="Arial" w:cs="Arial"/>
          <w:b/>
          <w:sz w:val="32"/>
          <w:szCs w:val="32"/>
        </w:rPr>
        <w:t xml:space="preserve">项目名称：</w:t>
      </w:r>
      <w:r>
        <w:rPr>
          <w:rFonts w:hint="eastAsia" w:ascii="Arial" w:hAnsi="Arial" w:cs="Arial"/>
          <w:b/>
          <w:sz w:val="32"/>
          <w:szCs w:val="32"/>
          <w:lang w:eastAsia="zh-CN"/>
        </w:rPr>
        <w:t xml:space="preserve">滨海县人民医院项目成本、病种成本系统建设项目</w:t>
      </w:r>
      <w:r/>
    </w:p>
    <w:p>
      <w:pPr>
        <w:pStyle w:val="643"/>
        <w:jc w:val="both"/>
        <w:spacing w:before="120" w:beforeAutospacing="0" w:after="120" w:afterAutospacing="0" w:line="360" w:lineRule="auto"/>
        <w:rPr>
          <w:rFonts w:asciiTheme="minorEastAsia" w:hAnsiTheme="minorEastAsia"/>
          <w:b/>
          <w:sz w:val="32"/>
          <w:szCs w:val="32"/>
        </w:rPr>
      </w:pPr>
      <w:r>
        <w:rPr>
          <w:rFonts w:ascii="Arial" w:hAnsi="Arial" w:cs="Arial"/>
          <w:b/>
          <w:sz w:val="32"/>
          <w:szCs w:val="32"/>
        </w:rPr>
        <w:t xml:space="preserve">项目编号：</w:t>
      </w:r>
      <w:r>
        <w:rPr>
          <w:rFonts w:hint="eastAsia" w:ascii="Arial" w:hAnsi="Arial" w:cs="Arial"/>
          <w:b/>
          <w:sz w:val="32"/>
          <w:szCs w:val="32"/>
        </w:rPr>
        <w:t xml:space="preserve">JSZC-320922-JZCG-G2026-0001</w:t>
      </w:r>
      <w:r/>
    </w:p>
    <w:p>
      <w:pPr>
        <w:pStyle w:val="643"/>
        <w:spacing w:beforeAutospacing="0" w:afterAutospacing="0" w:line="360" w:lineRule="auto"/>
      </w:pPr>
      <w:r>
        <w:t xml:space="preserve"> </w:t>
      </w:r>
      <w:r/>
    </w:p>
    <w:p>
      <w:pPr>
        <w:pStyle w:val="643"/>
        <w:spacing w:beforeAutospacing="0" w:afterAutospacing="0" w:line="360" w:lineRule="auto"/>
      </w:pPr>
      <w:r>
        <w:t xml:space="preserve"> </w:t>
      </w:r>
      <w:r/>
    </w:p>
    <w:p>
      <w:pPr>
        <w:pStyle w:val="643"/>
        <w:spacing w:beforeAutospacing="0" w:afterAutospacing="0" w:line="360" w:lineRule="auto"/>
      </w:pPr>
      <w:r>
        <w:t xml:space="preserve"> </w:t>
      </w:r>
      <w:r/>
    </w:p>
    <w:p>
      <w:pPr>
        <w:pStyle w:val="643"/>
        <w:spacing w:beforeAutospacing="0" w:afterAutospacing="0" w:line="360" w:lineRule="auto"/>
      </w:pPr>
      <w:r>
        <w:t xml:space="preserve"> </w:t>
      </w:r>
      <w:r/>
    </w:p>
    <w:p>
      <w:pPr>
        <w:pStyle w:val="643"/>
        <w:spacing w:beforeAutospacing="0" w:afterAutospacing="0" w:line="360" w:lineRule="auto"/>
      </w:pPr>
      <w:r>
        <w:t xml:space="preserve"> </w:t>
      </w:r>
      <w:r/>
    </w:p>
    <w:p>
      <w:pPr>
        <w:pStyle w:val="643"/>
        <w:spacing w:beforeAutospacing="0" w:afterAutospacing="0" w:line="360" w:lineRule="auto"/>
      </w:pPr>
      <w:r>
        <w:t xml:space="preserve"> </w:t>
      </w:r>
      <w:r/>
    </w:p>
    <w:p>
      <w:pPr>
        <w:pStyle w:val="643"/>
        <w:spacing w:beforeAutospacing="0" w:afterAutospacing="0" w:line="360" w:lineRule="auto"/>
      </w:pPr>
      <w:r>
        <w:t xml:space="preserve"> </w:t>
      </w:r>
      <w:r/>
    </w:p>
    <w:p>
      <w:pPr>
        <w:pStyle w:val="643"/>
        <w:spacing w:beforeAutospacing="0" w:afterAutospacing="0" w:line="360" w:lineRule="auto"/>
      </w:pPr>
      <w:r/>
      <w:r/>
    </w:p>
    <w:p>
      <w:pPr>
        <w:pStyle w:val="643"/>
        <w:spacing w:beforeAutospacing="0" w:afterAutospacing="0" w:line="360" w:lineRule="auto"/>
      </w:pPr>
      <w:r/>
      <w:r/>
    </w:p>
    <w:p>
      <w:pPr>
        <w:pStyle w:val="643"/>
        <w:spacing w:beforeAutospacing="0" w:afterAutospacing="0" w:line="360" w:lineRule="auto"/>
      </w:pPr>
      <w:r/>
      <w:r/>
    </w:p>
    <w:p>
      <w:pPr>
        <w:pStyle w:val="643"/>
        <w:spacing w:beforeAutospacing="0" w:afterAutospacing="0" w:line="360" w:lineRule="auto"/>
      </w:pPr>
      <w:r/>
      <w:r/>
    </w:p>
    <w:p>
      <w:pPr>
        <w:pStyle w:val="643"/>
        <w:spacing w:beforeAutospacing="0" w:afterAutospacing="0" w:line="360" w:lineRule="auto"/>
      </w:pPr>
      <w:r/>
      <w:r/>
    </w:p>
    <w:p>
      <w:pPr>
        <w:pStyle w:val="643"/>
        <w:spacing w:beforeAutospacing="0" w:afterAutospacing="0" w:line="360" w:lineRule="auto"/>
      </w:pPr>
      <w:r/>
      <w:r/>
    </w:p>
    <w:p>
      <w:pPr>
        <w:pStyle w:val="643"/>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采购单位：滨海县人民医院</w:t>
      </w:r>
      <w:r/>
    </w:p>
    <w:p>
      <w:pPr>
        <w:pStyle w:val="643"/>
        <w:jc w:val="center"/>
        <w:spacing w:before="120" w:beforeAutospacing="0" w:after="120" w:afterAutospacing="0" w:line="360" w:lineRule="auto"/>
      </w:pPr>
      <w:r>
        <w:rPr>
          <w:rFonts w:hint="eastAsia" w:ascii="Arial" w:hAnsi="Arial" w:cs="Arial"/>
          <w:b/>
          <w:sz w:val="32"/>
          <w:szCs w:val="32"/>
          <w:u w:val="single"/>
        </w:rPr>
        <w:t xml:space="preserve">202</w:t>
      </w:r>
      <w:r>
        <w:rPr>
          <w:rFonts w:hint="eastAsia" w:ascii="Arial" w:hAnsi="Arial" w:cs="Arial"/>
          <w:b/>
          <w:sz w:val="32"/>
          <w:szCs w:val="32"/>
          <w:u w:val="single"/>
          <w:lang w:val="en-US" w:eastAsia="zh-CN"/>
        </w:rPr>
        <w:t xml:space="preserve">6</w:t>
      </w:r>
      <w:r>
        <w:rPr>
          <w:rFonts w:ascii="Arial" w:hAnsi="Arial" w:cs="Arial"/>
          <w:b/>
          <w:sz w:val="32"/>
          <w:szCs w:val="32"/>
        </w:rPr>
        <w:t xml:space="preserve">年</w:t>
      </w:r>
      <w:r>
        <w:rPr>
          <w:rFonts w:hint="eastAsia" w:ascii="Arial" w:hAnsi="Arial" w:cs="Arial"/>
          <w:b/>
          <w:sz w:val="32"/>
          <w:szCs w:val="32"/>
          <w:u w:val="single"/>
          <w:lang w:val="en-US" w:eastAsia="zh-CN"/>
        </w:rPr>
        <w:t xml:space="preserve">1</w:t>
      </w:r>
      <w:r>
        <w:rPr>
          <w:rFonts w:ascii="Arial" w:hAnsi="Arial" w:cs="Arial"/>
          <w:b/>
          <w:sz w:val="32"/>
          <w:szCs w:val="32"/>
        </w:rPr>
        <w:t xml:space="preserve">月</w:t>
      </w:r>
      <w:r/>
    </w:p>
    <w:p>
      <w:pPr>
        <w:pStyle w:val="643"/>
        <w:spacing w:before="120" w:beforeAutospacing="0" w:after="120" w:afterAutospacing="0" w:line="360" w:lineRule="auto"/>
      </w:pPr>
      <w:r>
        <w:rPr>
          <w:rFonts w:ascii="Arial" w:hAnsi="Arial" w:cs="Arial"/>
        </w:rPr>
        <w:t xml:space="preserve">                        </w:t>
      </w:r>
      <w:r/>
    </w:p>
    <w:p>
      <w:pPr>
        <w:pStyle w:val="643"/>
        <w:jc w:val="center"/>
        <w:spacing w:before="120" w:beforeAutospacing="0" w:after="120" w:afterAutospacing="0" w:line="360" w:lineRule="auto"/>
      </w:pPr>
      <w:r>
        <w:t xml:space="preserve"> </w:t>
      </w:r>
      <w:r/>
    </w:p>
    <w:p>
      <w:pPr>
        <w:pStyle w:val="643"/>
        <w:jc w:val="center"/>
        <w:spacing w:beforeAutospacing="0" w:afterAutospacing="0" w:line="480" w:lineRule="auto"/>
      </w:pPr>
      <w:r>
        <w:rPr>
          <w:rFonts w:ascii="Times New Roman" w:hAnsi="Times New Roman"/>
          <w:sz w:val="21"/>
          <w:szCs w:val="21"/>
        </w:rPr>
        <w:t xml:space="preserve"> </w:t>
      </w:r>
      <w:bookmarkStart w:id="0" w:name="_Toc523127445"/>
      <w:r/>
      <w:bookmarkStart w:id="1" w:name="_Toc20823272"/>
      <w:r/>
      <w:bookmarkStart w:id="2" w:name="_Toc513029200"/>
      <w:r/>
      <w:bookmarkStart w:id="3" w:name="_Toc16938516"/>
      <w:r/>
      <w:bookmarkStart w:id="4" w:name="_Toc120614210"/>
      <w:r/>
      <w:bookmarkStart w:id="5" w:name="_Toc479757206"/>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643"/>
        <w:jc w:val="both"/>
        <w:spacing w:beforeAutospacing="0" w:afterAutospacing="0" w:line="480" w:lineRule="auto"/>
      </w:pPr>
      <w:r>
        <w:t xml:space="preserve"> </w:t>
      </w:r>
      <w:r/>
    </w:p>
    <w:p>
      <w:pPr>
        <w:pStyle w:val="643"/>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第一章 招标公告 </w:t>
      </w:r>
      <w:r/>
    </w:p>
    <w:p>
      <w:pPr>
        <w:pStyle w:val="643"/>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第二章 投标人须知  </w:t>
      </w:r>
      <w:r/>
    </w:p>
    <w:p>
      <w:pPr>
        <w:pStyle w:val="643"/>
        <w:ind w:left="2160" w:hanging="1440"/>
        <w:jc w:val="both"/>
        <w:spacing w:beforeAutospacing="0" w:afterAutospacing="0" w:line="48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第三章 合同条款</w:t>
      </w:r>
      <w:r/>
    </w:p>
    <w:p>
      <w:pPr>
        <w:pStyle w:val="643"/>
        <w:ind w:left="2160" w:hanging="1440"/>
        <w:jc w:val="both"/>
        <w:spacing w:beforeAutospacing="0" w:afterAutospacing="0" w:line="48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第四章 采购需求</w:t>
      </w:r>
      <w:r/>
    </w:p>
    <w:p>
      <w:pPr>
        <w:pStyle w:val="643"/>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第五章 评标方法与评标标准</w:t>
      </w:r>
      <w:r/>
    </w:p>
    <w:p>
      <w:pPr>
        <w:pStyle w:val="643"/>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第六章 投标文件格式</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pStyle w:val="643"/>
        <w:jc w:val="both"/>
        <w:spacing w:beforeAutospacing="0" w:afterAutospacing="0"/>
      </w:pPr>
      <w:r>
        <w:t xml:space="preserve"> </w:t>
      </w:r>
      <w:r/>
    </w:p>
    <w:p>
      <w:pPr>
        <w:rPr>
          <w:rFonts w:ascii="黑体" w:hAnsi="宋体" w:eastAsia="黑体" w:cs="黑体"/>
          <w:sz w:val="44"/>
          <w:szCs w:val="44"/>
        </w:rPr>
      </w:pPr>
      <w:r/>
      <w:bookmarkStart w:id="6" w:name="_Toc28359086"/>
      <w:r>
        <w:rPr>
          <w:rFonts w:hint="eastAsia" w:ascii="黑体" w:hAnsi="宋体" w:eastAsia="黑体" w:cs="黑体"/>
          <w:sz w:val="44"/>
          <w:szCs w:val="44"/>
        </w:rPr>
        <w:br w:type="page" w:clear="all"/>
      </w:r>
      <w:r/>
    </w:p>
    <w:p>
      <w:pPr>
        <w:pStyle w:val="643"/>
        <w:jc w:val="center"/>
        <w:spacing w:beforeAutospacing="0" w:afterAutospacing="0"/>
        <w:rPr>
          <w:rFonts w:eastAsia="黑体"/>
        </w:rPr>
      </w:pPr>
      <w:r>
        <w:rPr>
          <w:rFonts w:hint="eastAsia" w:ascii="黑体" w:hAnsi="宋体" w:eastAsia="黑体" w:cs="黑体"/>
          <w:sz w:val="44"/>
          <w:szCs w:val="44"/>
        </w:rPr>
        <w:t xml:space="preserve">第一章 招标公告</w:t>
      </w:r>
      <w:r/>
    </w:p>
    <w:p>
      <w:pPr>
        <w:pStyle w:val="643"/>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43"/>
        <w:ind w:firstLine="482"/>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bookmarkStart w:id="7" w:name="_Toc38985263"/>
      <w:r/>
      <w:bookmarkStart w:id="8" w:name="_Toc35393621"/>
      <w:r/>
      <w:bookmarkStart w:id="9" w:name="_Toc28359002"/>
      <w:r/>
      <w:bookmarkStart w:id="10" w:name="_Hlk24379207"/>
      <w:r/>
      <w:bookmarkStart w:id="11" w:name="_Toc35393790"/>
      <w:r/>
      <w:bookmarkStart w:id="12" w:name="_Toc28359079"/>
      <w:r>
        <w:rPr>
          <w:rFonts w:hint="eastAsia" w:ascii="宋体" w:hAnsi="宋体" w:eastAsia="宋体" w:cs="宋体"/>
          <w:u w:val="none"/>
          <w:lang w:eastAsia="zh-CN"/>
        </w:rPr>
        <w:t xml:space="preserve">滨海县人民医院项目成本、病种成本系统建设项目</w:t>
      </w:r>
      <w:r>
        <w:rPr>
          <w:rFonts w:hint="eastAsia" w:ascii="宋体" w:hAnsi="宋体" w:eastAsia="宋体" w:cs="宋体"/>
        </w:rPr>
        <w:t xml:space="preserve">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w:t>
      </w:r>
      <w:r>
        <w:rPr>
          <w:rFonts w:hint="eastAsia" w:ascii="宋体" w:hAnsi="宋体" w:eastAsia="宋体" w:cs="宋体"/>
          <w:u w:val="single"/>
          <w:lang w:val="en-US" w:eastAsia="zh-CN"/>
        </w:rPr>
        <w:t xml:space="preserve">6</w:t>
      </w:r>
      <w:r>
        <w:rPr>
          <w:rFonts w:hint="eastAsia" w:ascii="宋体" w:hAnsi="宋体" w:eastAsia="宋体" w:cs="宋体"/>
          <w:u w:val="single"/>
        </w:rPr>
        <w:t xml:space="preserve">年</w:t>
      </w:r>
      <w:r>
        <w:rPr>
          <w:rFonts w:hint="eastAsia" w:ascii="宋体" w:hAnsi="宋体" w:eastAsia="宋体" w:cs="宋体"/>
          <w:u w:val="single"/>
          <w:lang w:val="en-US" w:eastAsia="zh-CN"/>
        </w:rPr>
        <w:t xml:space="preserve">2</w:t>
      </w:r>
      <w:r>
        <w:rPr>
          <w:rFonts w:hint="eastAsia" w:ascii="宋体" w:hAnsi="宋体" w:eastAsia="宋体" w:cs="宋体"/>
          <w:u w:val="single"/>
        </w:rPr>
        <w:t xml:space="preserve">月</w:t>
      </w:r>
      <w:r>
        <w:rPr>
          <w:rFonts w:hint="eastAsia" w:ascii="宋体" w:hAnsi="宋体" w:eastAsia="宋体" w:cs="宋体"/>
          <w:u w:val="single"/>
          <w:lang w:val="en-US" w:eastAsia="zh-CN"/>
        </w:rPr>
        <w:t xml:space="preserve">2</w:t>
      </w:r>
      <w:r>
        <w:rPr>
          <w:rFonts w:hint="eastAsia" w:ascii="宋体" w:hAnsi="宋体" w:eastAsia="宋体" w:cs="宋体"/>
          <w:u w:val="single"/>
        </w:rPr>
        <w:t xml:space="preserve">日</w:t>
      </w:r>
      <w:r>
        <w:rPr>
          <w:rFonts w:hint="eastAsia" w:ascii="宋体" w:hAnsi="宋体" w:eastAsia="宋体" w:cs="宋体"/>
          <w:u w:val="single"/>
          <w:lang w:val="en-US" w:eastAsia="zh-CN"/>
        </w:rPr>
        <w:t xml:space="preserve">09</w:t>
      </w:r>
      <w:r>
        <w:rPr>
          <w:rFonts w:hint="eastAsia" w:ascii="宋体" w:hAnsi="宋体" w:eastAsia="宋体" w:cs="宋体"/>
          <w:u w:val="single"/>
        </w:rPr>
        <w:t xml:space="preserve">点00分（</w:t>
      </w:r>
      <w:r>
        <w:rPr>
          <w:rFonts w:hint="eastAsia" w:ascii="宋体" w:hAnsi="宋体" w:eastAsia="宋体" w:cs="宋体"/>
        </w:rPr>
        <w:t xml:space="preserve">北京时间）前递交投标文件。</w:t>
      </w:r>
      <w:r/>
    </w:p>
    <w:p>
      <w:pPr>
        <w:pStyle w:val="643"/>
        <w:ind w:firstLine="498"/>
        <w:jc w:val="both"/>
        <w:keepLines/>
        <w:keepNext/>
        <w:spacing w:beforeAutospacing="0" w:afterAutospacing="0" w:line="360" w:lineRule="auto"/>
        <w:rPr>
          <w:rFonts w:ascii="宋体" w:hAnsi="宋体" w:eastAsia="宋体" w:cs="宋体"/>
        </w:rPr>
      </w:pPr>
      <w:r/>
      <w:bookmarkStart w:id="13" w:name="OLE_LINK2"/>
      <w:r/>
      <w:bookmarkStart w:id="14" w:name="OLE_LINK3"/>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643"/>
        <w:ind w:firstLine="482"/>
        <w:jc w:val="both"/>
        <w:spacing w:beforeAutospacing="0" w:afterAutospacing="0" w:line="360" w:lineRule="auto"/>
        <w:rPr>
          <w:rFonts w:cs="宋体" w:asciiTheme="minorEastAsia" w:hAnsiTheme="minorEastAsia"/>
          <w:shd w:val="clear" w:color="auto" w:fill="ffffff"/>
        </w:rPr>
      </w:pPr>
      <w:r>
        <w:rPr>
          <w:rFonts w:hint="eastAsia" w:ascii="宋体" w:hAnsi="宋体" w:eastAsia="宋体" w:cs="宋体"/>
          <w:shd w:val="clear" w:color="auto" w:fill="ffffff"/>
        </w:rPr>
        <w:t xml:space="preserve">1.项目编号：JSZC-320922-JZCG-G2026-0001</w:t>
      </w:r>
      <w:r/>
    </w:p>
    <w:p>
      <w:pPr>
        <w:pStyle w:val="643"/>
        <w:ind w:firstLine="482"/>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2.项目名称：</w:t>
      </w:r>
      <w:r>
        <w:rPr>
          <w:rFonts w:hint="eastAsia" w:ascii="宋体" w:hAnsi="宋体" w:eastAsia="宋体"/>
          <w:lang w:eastAsia="zh-CN"/>
        </w:rPr>
        <w:t xml:space="preserve">滨海县人民医院项目成本、病种成本系统建设项目</w:t>
      </w:r>
      <w:r/>
    </w:p>
    <w:p>
      <w:pPr>
        <w:pStyle w:val="643"/>
        <w:ind w:firstLine="482"/>
        <w:jc w:val="both"/>
        <w:spacing w:beforeAutospacing="0" w:afterAutospacing="0" w:line="360" w:lineRule="auto"/>
        <w:rPr>
          <w:rFonts w:ascii="宋体" w:hAnsi="宋体" w:eastAsia="宋体" w:cs="宋体"/>
        </w:rPr>
      </w:pPr>
      <w:r>
        <w:rPr>
          <w:rFonts w:hint="eastAsia" w:ascii="宋体" w:hAnsi="宋体" w:eastAsia="宋体" w:cs="宋体"/>
          <w:shd w:val="clear" w:color="auto" w:fill="ffffff"/>
        </w:rPr>
        <w:t xml:space="preserve">3.采购方式：公开招标</w:t>
      </w:r>
      <w:r/>
    </w:p>
    <w:p>
      <w:pPr>
        <w:pStyle w:val="643"/>
        <w:ind w:firstLine="482"/>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4.预算金额：</w:t>
      </w:r>
      <w:r>
        <w:rPr>
          <w:rFonts w:hint="eastAsia" w:ascii="宋体" w:hAnsi="宋体" w:eastAsia="宋体" w:cs="宋体"/>
          <w:lang w:val="en-US" w:eastAsia="zh-CN"/>
        </w:rPr>
        <w:t xml:space="preserve">90</w:t>
      </w:r>
      <w:r>
        <w:rPr>
          <w:rFonts w:hint="eastAsia" w:ascii="宋体" w:hAnsi="宋体" w:eastAsia="宋体" w:cs="宋体"/>
          <w:lang w:eastAsia="zh-CN"/>
        </w:rPr>
        <w:t xml:space="preserve">万元</w:t>
      </w:r>
      <w:r/>
    </w:p>
    <w:p>
      <w:pPr>
        <w:pStyle w:val="643"/>
        <w:ind w:firstLine="482"/>
        <w:jc w:val="both"/>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5.系统维保期限：3年</w:t>
      </w:r>
      <w:bookmarkEnd w:id="13"/>
      <w:bookmarkEnd w:id="14"/>
      <w:r/>
    </w:p>
    <w:p>
      <w:pPr>
        <w:pStyle w:val="643"/>
        <w:ind w:firstLine="482"/>
        <w:jc w:val="both"/>
        <w:spacing w:beforeAutospacing="0" w:afterAutospacing="0" w:line="360" w:lineRule="auto"/>
        <w:rPr>
          <w:rFonts w:ascii="宋体" w:hAnsi="宋体" w:eastAsia="宋体" w:cs="宋体"/>
          <w:shd w:val="clear" w:color="ffffff" w:fill="d9d9d9"/>
        </w:rPr>
      </w:pPr>
      <w:r>
        <w:rPr>
          <w:rFonts w:hint="eastAsia" w:ascii="宋体" w:hAnsi="宋体" w:eastAsia="宋体" w:cs="宋体"/>
          <w:shd w:val="clear" w:color="auto" w:fill="ffffff"/>
          <w:lang w:val="en-US" w:eastAsia="zh-CN"/>
        </w:rPr>
        <w:t xml:space="preserve">6</w:t>
      </w:r>
      <w:r>
        <w:rPr>
          <w:rFonts w:hint="eastAsia" w:ascii="宋体" w:hAnsi="宋体" w:eastAsia="宋体" w:cs="宋体"/>
          <w:shd w:val="clear" w:color="auto" w:fill="ffffff"/>
        </w:rPr>
        <w:t xml:space="preserve">.</w:t>
      </w:r>
      <w:bookmarkStart w:id="15" w:name="OLE_LINK5"/>
      <w:r/>
      <w:bookmarkStart w:id="16" w:name="OLE_LINK4"/>
      <w:r>
        <w:rPr>
          <w:rFonts w:hint="eastAsia" w:ascii="宋体" w:hAnsi="宋体" w:eastAsia="宋体" w:cs="宋体"/>
          <w:shd w:val="clear" w:color="auto" w:fill="ffffff"/>
        </w:rPr>
        <w:t xml:space="preserve">最高限价：本项目</w:t>
      </w:r>
      <w:bookmarkStart w:id="17" w:name="OLE_LINK28"/>
      <w:r/>
      <w:bookmarkStart w:id="18" w:name="OLE_LINK29"/>
      <w:r>
        <w:rPr>
          <w:rFonts w:hint="eastAsia" w:ascii="宋体" w:hAnsi="宋体" w:eastAsia="宋体" w:cs="宋体"/>
          <w:shd w:val="clear" w:color="auto" w:fill="ffffff"/>
        </w:rPr>
        <w:t xml:space="preserve">投标总价不得高于人民币</w:t>
      </w:r>
      <w:bookmarkEnd w:id="17"/>
      <w:r/>
      <w:bookmarkEnd w:id="18"/>
      <w:r>
        <w:rPr>
          <w:rFonts w:hint="eastAsia" w:ascii="宋体" w:hAnsi="宋体" w:eastAsia="宋体" w:cs="宋体"/>
          <w:shd w:val="clear" w:color="auto" w:fill="ffffff"/>
          <w:lang w:val="en-US" w:eastAsia="zh-CN"/>
        </w:rPr>
        <w:t xml:space="preserve">90</w:t>
      </w:r>
      <w:r>
        <w:rPr>
          <w:rFonts w:hint="eastAsia" w:ascii="宋体" w:hAnsi="宋体" w:eastAsia="宋体" w:cs="宋体"/>
          <w:shd w:val="clear" w:color="auto" w:fill="ffffff"/>
          <w:lang w:eastAsia="zh-CN"/>
        </w:rPr>
        <w:t xml:space="preserve">万元</w:t>
      </w:r>
      <w:r>
        <w:rPr>
          <w:rFonts w:hint="eastAsia" w:ascii="宋体" w:hAnsi="宋体" w:eastAsia="宋体" w:cs="宋体"/>
          <w:shd w:val="clear" w:color="auto" w:fill="ffffff"/>
        </w:rPr>
        <w:t xml:space="preserve">（投标人投标报价不得超过上述限价金额，否则将作无效投标处理）。</w:t>
      </w:r>
      <w:bookmarkEnd w:id="15"/>
      <w:r/>
      <w:bookmarkEnd w:id="16"/>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lang w:val="en-US" w:eastAsia="zh-CN" w:bidi="ar-SA"/>
        </w:rPr>
        <w:t xml:space="preserve">7.</w:t>
      </w:r>
      <w:bookmarkStart w:id="19" w:name="OLE_LINK8"/>
      <w:r/>
      <w:bookmarkStart w:id="20" w:name="OLE_LINK7"/>
      <w:r>
        <w:rPr>
          <w:rFonts w:hint="eastAsia" w:ascii="宋体" w:hAnsi="宋体" w:eastAsia="宋体" w:cs="宋体"/>
          <w:sz w:val="24"/>
          <w:szCs w:val="24"/>
          <w:shd w:val="clear" w:color="auto" w:fill="ffffff"/>
          <w:lang w:val="en-US" w:eastAsia="zh-CN" w:bidi="ar-SA"/>
        </w:rPr>
        <w:t xml:space="preserve">采购需求：</w:t>
      </w:r>
      <w:bookmarkStart w:id="21" w:name="OLE_LINK101"/>
      <w:r/>
      <w:bookmarkStart w:id="22" w:name="OLE_LINK102"/>
      <w:r>
        <w:rPr>
          <w:rFonts w:ascii="Segoe UI" w:hAnsi="Segoe UI" w:eastAsia="Segoe UI" w:cs="Segoe UI"/>
          <w:i w:val="0"/>
          <w:iCs w:val="0"/>
          <w:caps w:val="0"/>
          <w:color w:val="0f1115"/>
          <w:spacing w:val="0"/>
          <w:sz w:val="24"/>
          <w:szCs w:val="24"/>
          <w:shd w:val="clear" w:color="auto" w:fill="ffffff"/>
        </w:rPr>
        <w:t xml:space="preserve">滨海县人民医院现计划采购一套成本管理系统，旨在构建一个涵盖</w:t>
      </w:r>
      <w:r>
        <w:rPr>
          <w:rStyle w:val="647"/>
          <w:rFonts w:hint="default" w:ascii="Segoe UI" w:hAnsi="Segoe UI" w:eastAsia="Segoe UI" w:cs="Segoe UI"/>
          <w:b w:val="0"/>
          <w:bCs w:val="0"/>
          <w:i w:val="0"/>
          <w:iCs w:val="0"/>
          <w:caps w:val="0"/>
          <w:color w:val="0f1115"/>
          <w:spacing w:val="0"/>
          <w:sz w:val="24"/>
          <w:szCs w:val="24"/>
          <w:shd w:val="clear" w:color="auto" w:fill="ffffff"/>
        </w:rPr>
        <w:t xml:space="preserve">项目成本、病种成本（含DRG成本）核算与战略决策分析</w:t>
      </w:r>
      <w:r>
        <w:rPr>
          <w:rFonts w:hint="default" w:ascii="Segoe UI" w:hAnsi="Segoe UI" w:eastAsia="Segoe UI" w:cs="Segoe UI"/>
          <w:i w:val="0"/>
          <w:iCs w:val="0"/>
          <w:caps w:val="0"/>
          <w:color w:val="0f1115"/>
          <w:spacing w:val="0"/>
          <w:sz w:val="24"/>
          <w:szCs w:val="24"/>
          <w:shd w:val="clear" w:color="auto" w:fill="ffffff"/>
        </w:rPr>
        <w:t xml:space="preserve">的全方位成本管理平台。该系统需严格遵循国家《公立医院成本核算规范》要求，核心功能包括支持多种成本核算方法、实现从科室到院级的精细化成本计算与分摊、提供丰富的盈亏及趋势分析报表，并能够无缝对接医院现有HIS、财务、病案等系统</w:t>
      </w:r>
      <w:r>
        <w:rPr>
          <w:rFonts w:hint="eastAsia" w:ascii="宋体" w:hAnsi="宋体" w:eastAsia="宋体"/>
          <w:sz w:val="24"/>
          <w:lang w:val="en-US" w:eastAsia="zh-CN"/>
        </w:rPr>
        <w:t xml:space="preserve">。（详细内容见本招标文件第四章）。</w:t>
      </w:r>
      <w:bookmarkEnd w:id="19"/>
      <w:bookmarkEnd w:id="20"/>
      <w:bookmarkEnd w:id="21"/>
      <w:bookmarkEnd w:id="22"/>
      <w:r/>
    </w:p>
    <w:p>
      <w:pPr>
        <w:pStyle w:val="643"/>
        <w:ind w:firstLine="482"/>
        <w:jc w:val="both"/>
        <w:spacing w:beforeAutospacing="0" w:afterAutospacing="0" w:line="360" w:lineRule="auto"/>
        <w:rPr>
          <w:rFonts w:ascii="宋体" w:hAnsi="宋体" w:eastAsia="宋体" w:cs="宋体"/>
        </w:rPr>
      </w:pPr>
      <w:r>
        <w:rPr>
          <w:rFonts w:hint="eastAsia" w:ascii="宋体" w:hAnsi="宋体" w:eastAsia="宋体" w:cs="宋体"/>
          <w:lang w:val="en-US" w:eastAsia="zh-CN"/>
        </w:rPr>
        <w:t xml:space="preserve">8</w:t>
      </w:r>
      <w:r>
        <w:rPr>
          <w:rFonts w:hint="eastAsia" w:ascii="宋体" w:hAnsi="宋体" w:eastAsia="宋体" w:cs="宋体"/>
        </w:rPr>
        <w:t xml:space="preserve">.</w:t>
      </w:r>
      <w:r>
        <w:rPr>
          <w:rFonts w:hint="eastAsia" w:ascii="宋体" w:hAnsi="宋体" w:eastAsia="宋体"/>
          <w:sz w:val="24"/>
          <w:lang w:val="en-US" w:eastAsia="zh-CN"/>
        </w:rPr>
        <w:t xml:space="preserve">项目建设周期</w:t>
      </w:r>
      <w:r>
        <w:rPr>
          <w:rFonts w:hint="eastAsia" w:ascii="宋体" w:hAnsi="宋体" w:eastAsia="宋体"/>
          <w:sz w:val="24"/>
        </w:rPr>
        <w:t xml:space="preserve">：</w:t>
      </w:r>
      <w:r>
        <w:rPr>
          <w:rFonts w:hint="eastAsia" w:ascii="宋体" w:hAnsi="宋体" w:eastAsia="宋体" w:cs="Times New Roman"/>
          <w:sz w:val="24"/>
          <w:lang w:val="en-US" w:eastAsia="zh-CN"/>
        </w:rPr>
        <w:t xml:space="preserve">合同签</w:t>
      </w:r>
      <w:r>
        <w:rPr>
          <w:rFonts w:hint="eastAsia" w:ascii="宋体" w:hAnsi="宋体" w:eastAsia="宋体" w:cs="Times New Roman"/>
          <w:sz w:val="24"/>
          <w:highlight w:val="none"/>
          <w:lang w:val="en-US" w:eastAsia="zh-CN"/>
        </w:rPr>
        <w:t xml:space="preserve">订后6</w:t>
      </w:r>
      <w:r>
        <w:rPr>
          <w:rFonts w:hint="eastAsia" w:ascii="宋体" w:hAnsi="宋体" w:eastAsia="宋体" w:cs="Times New Roman"/>
          <w:sz w:val="24"/>
          <w:lang w:val="en-US" w:eastAsia="zh-CN"/>
        </w:rPr>
        <w:t xml:space="preserve">个月内</w:t>
      </w:r>
      <w:r>
        <w:rPr>
          <w:rFonts w:hint="eastAsia" w:ascii="宋体" w:hAnsi="宋体" w:eastAsia="宋体" w:cs="宋体"/>
          <w:color w:val="000000"/>
        </w:rPr>
        <w:t xml:space="preserve">。</w:t>
      </w:r>
      <w:bookmarkStart w:id="23" w:name="_Toc38985264"/>
      <w:r/>
      <w:bookmarkStart w:id="24" w:name="_Toc35393622"/>
      <w:r/>
      <w:bookmarkStart w:id="25" w:name="_Toc28359080"/>
      <w:r/>
      <w:bookmarkStart w:id="26" w:name="_Toc28359003"/>
      <w:r/>
      <w:bookmarkStart w:id="27" w:name="_Toc35393791"/>
      <w:r/>
      <w:r/>
    </w:p>
    <w:p>
      <w:pPr>
        <w:pStyle w:val="643"/>
        <w:ind w:firstLine="482"/>
        <w:jc w:val="both"/>
        <w:spacing w:beforeAutospacing="0" w:afterAutospacing="0" w:line="360" w:lineRule="auto"/>
        <w:rPr>
          <w:rFonts w:ascii="宋体" w:hAnsi="宋体" w:eastAsia="宋体"/>
        </w:rPr>
      </w:pPr>
      <w:r>
        <w:rPr>
          <w:rFonts w:hint="eastAsia" w:ascii="宋体" w:hAnsi="宋体" w:eastAsia="宋体"/>
          <w:lang w:val="en-US" w:eastAsia="zh-CN"/>
        </w:rPr>
        <w:t xml:space="preserve">9.</w:t>
      </w:r>
      <w:r>
        <w:rPr>
          <w:rFonts w:hint="eastAsia" w:ascii="宋体" w:hAnsi="宋体" w:eastAsia="宋体"/>
        </w:rPr>
        <w:t xml:space="preserve">服务标准：合格</w:t>
      </w:r>
      <w:r/>
    </w:p>
    <w:p>
      <w:pPr>
        <w:ind w:firstLine="480"/>
        <w:spacing w:line="360" w:lineRule="auto"/>
        <w:rPr>
          <w:rFonts w:ascii="宋体" w:hAnsi="宋体" w:eastAsia="宋体"/>
          <w:sz w:val="24"/>
        </w:rPr>
      </w:pPr>
      <w:r>
        <w:rPr>
          <w:rFonts w:hint="eastAsia" w:ascii="宋体" w:hAnsi="宋体" w:eastAsia="宋体"/>
          <w:sz w:val="24"/>
          <w:lang w:val="en-US" w:eastAsia="zh-CN"/>
        </w:rPr>
        <w:t xml:space="preserve">10.</w:t>
      </w:r>
      <w:r>
        <w:rPr>
          <w:rFonts w:hint="eastAsia" w:ascii="宋体" w:hAnsi="宋体" w:eastAsia="宋体"/>
          <w:sz w:val="24"/>
        </w:rPr>
        <w:t xml:space="preserve">项目（是/否）接受联合体投标：</w:t>
      </w:r>
      <w:r>
        <w:rPr>
          <w:rFonts w:hint="eastAsia" w:ascii="宋体" w:hAnsi="宋体" w:eastAsia="宋体"/>
          <w:sz w:val="24"/>
          <w:lang w:val="en-US" w:eastAsia="zh-CN"/>
        </w:rPr>
        <w:t xml:space="preserve">否</w:t>
      </w:r>
      <w:r>
        <w:rPr>
          <w:rFonts w:hint="eastAsia" w:ascii="宋体" w:hAnsi="宋体" w:eastAsia="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b/>
          <w:sz w:val="24"/>
        </w:rPr>
        <w:t xml:space="preserve">二、申请人的资格要求：</w:t>
      </w:r>
      <w:bookmarkEnd w:id="23"/>
      <w:r/>
      <w:bookmarkEnd w:id="24"/>
      <w:r/>
      <w:bookmarkEnd w:id="25"/>
      <w:r/>
      <w:bookmarkEnd w:id="26"/>
      <w:r/>
      <w:bookmarkEnd w:id="27"/>
      <w:r/>
      <w:r/>
    </w:p>
    <w:p>
      <w:pPr>
        <w:pStyle w:val="6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6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w:t>
      </w:r>
      <w:bookmarkStart w:id="28" w:name="OLE_LINK13"/>
      <w:r/>
      <w:bookmarkStart w:id="29" w:name="OLE_LINK14"/>
      <w:r>
        <w:rPr>
          <w:rFonts w:hint="eastAsia" w:ascii="宋体" w:hAnsi="宋体" w:eastAsia="宋体" w:cs="宋体"/>
          <w:iCs/>
          <w:color w:val="000000"/>
        </w:rPr>
        <w:t xml:space="preserve">上一年度的财务状况报</w:t>
      </w:r>
      <w:r>
        <w:rPr>
          <w:rFonts w:hint="eastAsia" w:ascii="宋体" w:hAnsi="宋体" w:eastAsia="宋体" w:cs="宋体"/>
          <w:iCs/>
          <w:color w:val="000000"/>
          <w:lang w:val="en-US" w:eastAsia="zh-CN"/>
        </w:rPr>
        <w:t xml:space="preserve">告</w:t>
      </w:r>
      <w:bookmarkEnd w:id="28"/>
      <w:r/>
      <w:bookmarkEnd w:id="29"/>
      <w:r>
        <w:rPr>
          <w:rFonts w:hint="eastAsia" w:ascii="宋体" w:hAnsi="宋体" w:eastAsia="宋体" w:cs="宋体"/>
          <w:color w:val="000000"/>
          <w:sz w:val="24"/>
        </w:rPr>
        <w:t xml:space="preserve">【至少提供资产负债表、利润表、现金流量表，如2025年财务状况报告尚未出具，投标人可提供2025年度的财务报表（至少包含资产负债表、利润表、现金流量表）加盖投标人公章替代；投标人成立不满一年无需提供】</w:t>
      </w:r>
      <w:r>
        <w:rPr>
          <w:rFonts w:hint="eastAsia" w:ascii="宋体" w:hAnsi="宋体" w:eastAsia="宋体" w:cs="宋体"/>
        </w:rPr>
        <w:t xml:space="preserve">；</w:t>
      </w:r>
      <w:r/>
    </w:p>
    <w:p>
      <w:pPr>
        <w:pStyle w:val="6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1.3</w:t>
      </w:r>
      <w:bookmarkStart w:id="30" w:name="OLE_LINK16"/>
      <w:r>
        <w:rPr>
          <w:rFonts w:hint="eastAsia" w:ascii="宋体" w:hAnsi="宋体" w:eastAsia="宋体" w:cs="宋体"/>
        </w:rPr>
        <w:t xml:space="preserve">具备履行合同所必需的设备和专业技术能力的书面声明</w:t>
      </w:r>
      <w:bookmarkEnd w:id="30"/>
      <w:r>
        <w:rPr>
          <w:rFonts w:hint="eastAsia" w:ascii="宋体" w:hAnsi="宋体" w:eastAsia="宋体" w:cs="宋体"/>
        </w:rPr>
        <w:t xml:space="preserve">；</w:t>
      </w:r>
      <w:r/>
    </w:p>
    <w:p>
      <w:pPr>
        <w:pStyle w:val="6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w:t>
      </w:r>
      <w:bookmarkStart w:id="31" w:name="OLE_LINK17"/>
      <w:r/>
      <w:bookmarkStart w:id="32" w:name="OLE_LINK18"/>
      <w:r>
        <w:rPr>
          <w:rFonts w:hint="eastAsia" w:ascii="宋体" w:hAnsi="宋体" w:eastAsia="宋体" w:cs="宋体"/>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31"/>
      <w:r/>
      <w:bookmarkEnd w:id="32"/>
      <w:r>
        <w:rPr>
          <w:rFonts w:hint="eastAsia" w:ascii="宋体" w:hAnsi="宋体" w:eastAsia="宋体" w:cs="宋体"/>
        </w:rPr>
        <w:t xml:space="preserve">；</w:t>
      </w:r>
      <w:r/>
    </w:p>
    <w:p>
      <w:pPr>
        <w:pStyle w:val="6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1.5</w:t>
      </w:r>
      <w:bookmarkStart w:id="33" w:name="OLE_LINK20"/>
      <w:r/>
      <w:bookmarkStart w:id="34" w:name="OLE_LINK19"/>
      <w:r>
        <w:rPr>
          <w:rFonts w:hint="eastAsia" w:ascii="宋体" w:hAnsi="宋体" w:eastAsia="宋体" w:cs="宋体"/>
        </w:rPr>
        <w:t xml:space="preserve">参加政府采购活动前3年内在经营活动中没有重大违法记录的书面声明</w:t>
      </w:r>
      <w:bookmarkEnd w:id="33"/>
      <w:r/>
      <w:bookmarkEnd w:id="34"/>
      <w:r>
        <w:rPr>
          <w:rFonts w:hint="eastAsia" w:ascii="宋体" w:hAnsi="宋体" w:eastAsia="宋体" w:cs="宋体"/>
        </w:rPr>
        <w:t xml:space="preserve">。</w:t>
      </w:r>
      <w:r/>
    </w:p>
    <w:p>
      <w:pPr>
        <w:pStyle w:val="6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1.6</w:t>
      </w:r>
      <w:bookmarkStart w:id="35" w:name="OLE_LINK22"/>
      <w:r/>
      <w:bookmarkStart w:id="36" w:name="OLE_LINK21"/>
      <w:r>
        <w:rPr>
          <w:rFonts w:hint="eastAsia" w:ascii="宋体" w:hAnsi="宋体" w:eastAsia="宋体" w:cs="宋体"/>
        </w:rPr>
        <w:t xml:space="preserve">法律、行政法规规定的其他条件</w:t>
      </w:r>
      <w:bookmarkEnd w:id="35"/>
      <w:r/>
      <w:bookmarkEnd w:id="36"/>
      <w:r>
        <w:rPr>
          <w:rFonts w:hint="eastAsia" w:ascii="宋体" w:hAnsi="宋体" w:eastAsia="宋体" w:cs="宋体"/>
        </w:rPr>
        <w:t xml:space="preserve">。</w:t>
      </w:r>
      <w:r/>
    </w:p>
    <w:p>
      <w:pPr>
        <w:pStyle w:val="643"/>
        <w:ind w:firstLine="480"/>
        <w:jc w:val="both"/>
        <w:spacing w:beforeAutospacing="0" w:afterAutospacing="0" w:line="360" w:lineRule="auto"/>
        <w:tabs>
          <w:tab w:val="left" w:pos="3570" w:leader="none"/>
        </w:tabs>
        <w:rPr>
          <w:rFonts w:ascii="宋体" w:hAnsi="宋体" w:eastAsia="宋体" w:cs="宋体"/>
        </w:rPr>
      </w:pPr>
      <w:r>
        <w:rPr>
          <w:rFonts w:hint="eastAsia" w:ascii="宋体" w:hAnsi="宋体" w:eastAsia="宋体" w:cs="宋体"/>
        </w:rPr>
        <w:t xml:space="preserve">1.7</w:t>
      </w:r>
      <w:bookmarkStart w:id="37" w:name="OLE_LINK24"/>
      <w:r/>
      <w:bookmarkStart w:id="38" w:name="OLE_LINK25"/>
      <w:r>
        <w:rPr>
          <w:rFonts w:hint="eastAsia" w:ascii="宋体" w:hAnsi="宋体" w:eastAsia="宋体" w:cs="宋体"/>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7"/>
      <w:r/>
      <w:bookmarkEnd w:id="38"/>
      <w:r/>
      <w:r/>
    </w:p>
    <w:p>
      <w:pPr>
        <w:pStyle w:val="6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1.8</w:t>
      </w:r>
      <w:bookmarkStart w:id="39" w:name="OLE_LINK26"/>
      <w:r>
        <w:rPr>
          <w:rFonts w:hint="eastAsia" w:ascii="宋体" w:hAnsi="宋体" w:eastAsia="宋体" w:cs="宋体"/>
        </w:rPr>
        <w:t xml:space="preserve">单位负责人为同一人或者存在直接控股、管理关系的不同供应商，不得参加同一合同项下的政府采购活动</w:t>
      </w:r>
      <w:bookmarkEnd w:id="39"/>
      <w:r>
        <w:rPr>
          <w:rFonts w:hint="eastAsia" w:ascii="宋体" w:hAnsi="宋体" w:eastAsia="宋体" w:cs="宋体"/>
        </w:rPr>
        <w:t xml:space="preserve">。</w:t>
      </w:r>
      <w:r/>
    </w:p>
    <w:p>
      <w:pPr>
        <w:pStyle w:val="643"/>
        <w:numPr>
          <w:ilvl w:val="0"/>
          <w:numId w:val="2"/>
        </w:numPr>
        <w:ind w:firstLine="480"/>
        <w:jc w:val="both"/>
        <w:spacing w:beforeAutospacing="0" w:afterAutospacing="0" w:line="360" w:lineRule="auto"/>
        <w:rPr>
          <w:rFonts w:ascii="宋体" w:hAnsi="宋体" w:eastAsia="宋体" w:cs="宋体"/>
          <w:highlight w:val="none"/>
        </w:rPr>
      </w:pPr>
      <w:r>
        <w:rPr>
          <w:rFonts w:hint="eastAsia" w:ascii="宋体" w:hAnsi="宋体" w:eastAsia="宋体" w:cs="宋体"/>
        </w:rPr>
        <w:t xml:space="preserve">落实政府采购政策需满足的资格要求</w:t>
      </w:r>
      <w:r>
        <w:rPr>
          <w:rFonts w:hint="eastAsia" w:ascii="宋体" w:hAnsi="宋体" w:eastAsia="宋体" w:cs="宋体"/>
          <w:u w:val="single"/>
        </w:rPr>
        <w:t xml:space="preserve">：</w:t>
      </w:r>
      <w:r>
        <w:rPr>
          <w:rFonts w:hint="eastAsia" w:ascii="宋体" w:hAnsi="宋体" w:eastAsia="宋体" w:cs="宋体"/>
          <w:highlight w:val="none"/>
          <w:u w:val="single"/>
          <w:lang w:val="en-US" w:eastAsia="zh-CN"/>
        </w:rPr>
        <w:t xml:space="preserve">无</w:t>
      </w:r>
      <w:r>
        <w:rPr>
          <w:rFonts w:hint="eastAsia" w:ascii="宋体" w:hAnsi="宋体" w:eastAsia="宋体" w:cs="宋体"/>
          <w:highlight w:val="none"/>
          <w:u w:val="single"/>
        </w:rPr>
        <w:t xml:space="preserve">。</w:t>
      </w:r>
      <w:r/>
    </w:p>
    <w:p>
      <w:pPr>
        <w:pStyle w:val="643"/>
        <w:numPr>
          <w:ilvl w:val="0"/>
          <w:numId w:val="2"/>
        </w:numPr>
        <w:ind w:firstLine="480"/>
        <w:jc w:val="both"/>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本项目的特定资格要求：</w:t>
      </w:r>
      <w:r>
        <w:rPr>
          <w:rFonts w:hint="eastAsia" w:ascii="宋体" w:hAnsi="宋体" w:eastAsia="宋体" w:cs="宋体"/>
          <w:highlight w:val="none"/>
          <w:u w:val="single"/>
          <w:lang w:val="en-US" w:eastAsia="zh-CN"/>
        </w:rPr>
        <w:t xml:space="preserve">不接受联合体</w:t>
      </w:r>
      <w:r>
        <w:rPr>
          <w:rFonts w:hint="eastAsia" w:ascii="宋体" w:hAnsi="宋体" w:eastAsia="宋体" w:cs="宋体"/>
          <w:highlight w:val="none"/>
        </w:rPr>
        <w:t xml:space="preserve">。</w:t>
      </w:r>
      <w:r/>
    </w:p>
    <w:p>
      <w:pPr>
        <w:pStyle w:val="643"/>
        <w:ind w:firstLine="498"/>
        <w:jc w:val="both"/>
        <w:keepLines/>
        <w:keepNext/>
        <w:spacing w:beforeAutospacing="0" w:afterAutospacing="0" w:line="360" w:lineRule="auto"/>
        <w:rPr>
          <w:rFonts w:ascii="宋体" w:hAnsi="宋体" w:eastAsia="宋体" w:cs="宋体"/>
          <w:highlight w:val="none"/>
        </w:rPr>
      </w:pPr>
      <w:r>
        <w:rPr>
          <w:rFonts w:hint="eastAsia" w:ascii="宋体" w:hAnsi="宋体" w:eastAsia="宋体" w:cs="宋体"/>
          <w:b/>
          <w:highlight w:val="none"/>
        </w:rPr>
        <w:t xml:space="preserve">三、获取招标文件</w:t>
      </w:r>
      <w:r/>
    </w:p>
    <w:p>
      <w:pPr>
        <w:pStyle w:val="643"/>
        <w:ind w:firstLine="540"/>
        <w:jc w:val="both"/>
        <w:spacing w:beforeAutospacing="0" w:afterAutospacing="0" w:line="360" w:lineRule="auto"/>
        <w:shd w:val="clear" w:color="auto" w:fill="ffffff"/>
        <w:widowControl/>
        <w:rPr>
          <w:rFonts w:ascii="宋体" w:hAnsi="宋体" w:eastAsia="宋体" w:cs="宋体"/>
        </w:rPr>
      </w:pPr>
      <w:r/>
      <w:bookmarkStart w:id="40" w:name="_Toc38985266"/>
      <w:r/>
      <w:bookmarkStart w:id="41" w:name="_Toc35393624"/>
      <w:r/>
      <w:bookmarkStart w:id="42" w:name="_Toc28359005"/>
      <w:r/>
      <w:bookmarkStart w:id="43" w:name="_Toc35393793"/>
      <w:r/>
      <w:bookmarkStart w:id="44" w:name="_Toc28359082"/>
      <w:r>
        <w:rPr>
          <w:rFonts w:hint="eastAsia" w:ascii="宋体" w:hAnsi="宋体" w:eastAsia="宋体" w:cs="宋体"/>
        </w:rPr>
        <w:t xml:space="preserve">1.时间：</w:t>
      </w:r>
      <w:bookmarkEnd w:id="40"/>
      <w:r/>
      <w:bookmarkEnd w:id="41"/>
      <w:r/>
      <w:bookmarkEnd w:id="42"/>
      <w:r/>
      <w:bookmarkEnd w:id="43"/>
      <w:r/>
      <w:bookmarkEnd w:id="44"/>
      <w:r>
        <w:rPr>
          <w:rFonts w:hint="eastAsia" w:ascii="宋体" w:hAnsi="宋体" w:eastAsia="宋体" w:cs="宋体"/>
        </w:rPr>
        <w:t xml:space="preserve">自招标文件公告发布之日起5个工作日。</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2.地点：</w:t>
      </w:r>
      <w:bookmarkStart w:id="45" w:name="OLE_LINK98"/>
      <w:r/>
      <w:bookmarkStart w:id="46" w:name="OLE_LINK97"/>
      <w:r>
        <w:rPr>
          <w:rFonts w:hint="eastAsia" w:ascii="宋体" w:hAnsi="宋体" w:eastAsia="宋体" w:cs="宋体"/>
          <w:sz w:val="24"/>
        </w:rPr>
        <w:t xml:space="preserve">“苏采云”系统内免费下载（投标人必须在苏采云系统中获取采购文件，方能参与政府采购项目）；</w:t>
      </w:r>
      <w:bookmarkEnd w:id="45"/>
      <w:r/>
      <w:bookmarkEnd w:id="46"/>
      <w:r/>
      <w:r/>
    </w:p>
    <w:p>
      <w:pPr>
        <w:pStyle w:val="643"/>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3.方式：本项目</w:t>
      </w:r>
      <w:bookmarkStart w:id="47" w:name="OLE_LINK100"/>
      <w:r/>
      <w:bookmarkStart w:id="48" w:name="OLE_LINK99"/>
      <w:r>
        <w:rPr>
          <w:rFonts w:hint="eastAsia" w:ascii="宋体" w:hAnsi="宋体" w:eastAsia="宋体" w:cs="宋体"/>
        </w:rPr>
        <w:t xml:space="preserve">采用网上注册登记方式</w:t>
      </w:r>
      <w:bookmarkEnd w:id="47"/>
      <w:r/>
      <w:bookmarkEnd w:id="48"/>
      <w:r>
        <w:rPr>
          <w:rFonts w:hint="eastAsia" w:ascii="宋体" w:hAnsi="宋体" w:eastAsia="宋体" w:cs="宋体"/>
        </w:rPr>
        <w:t xml:space="preserve">。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4.售价：0元</w:t>
      </w:r>
      <w:r/>
    </w:p>
    <w:p>
      <w:pPr>
        <w:pStyle w:val="643"/>
        <w:ind w:firstLine="498"/>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四、提交投标文件截止时间、开标时间和地点</w:t>
      </w:r>
      <w:r/>
    </w:p>
    <w:p>
      <w:pPr>
        <w:pStyle w:val="643"/>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1.时间：</w:t>
      </w:r>
      <w:r>
        <w:rPr>
          <w:rFonts w:hint="eastAsia" w:ascii="宋体" w:hAnsi="宋体" w:eastAsia="宋体" w:cs="宋体"/>
          <w:b/>
          <w:bCs/>
          <w:u w:val="single"/>
        </w:rPr>
        <w:t xml:space="preserve">202</w:t>
      </w:r>
      <w:r>
        <w:rPr>
          <w:rFonts w:hint="eastAsia" w:ascii="宋体" w:hAnsi="宋体" w:eastAsia="宋体" w:cs="宋体"/>
          <w:b/>
          <w:bCs/>
          <w:u w:val="single"/>
          <w:lang w:val="en-US" w:eastAsia="zh-CN"/>
        </w:rPr>
        <w:t xml:space="preserve">6</w:t>
      </w:r>
      <w:r>
        <w:rPr>
          <w:rFonts w:hint="eastAsia" w:ascii="宋体" w:hAnsi="宋体" w:eastAsia="宋体" w:cs="宋体"/>
          <w:b/>
          <w:bCs/>
          <w:u w:val="single"/>
        </w:rPr>
        <w:t xml:space="preserve">年</w:t>
      </w:r>
      <w:r>
        <w:rPr>
          <w:rFonts w:hint="eastAsia" w:ascii="宋体" w:hAnsi="宋体" w:eastAsia="宋体" w:cs="宋体"/>
          <w:b/>
          <w:bCs/>
          <w:u w:val="single"/>
          <w:lang w:val="en-US" w:eastAsia="zh-CN"/>
        </w:rPr>
        <w:t xml:space="preserve">2</w:t>
      </w:r>
      <w:r>
        <w:rPr>
          <w:rFonts w:hint="eastAsia" w:ascii="宋体" w:hAnsi="宋体" w:eastAsia="宋体" w:cs="宋体"/>
          <w:b/>
          <w:bCs/>
          <w:u w:val="single"/>
        </w:rPr>
        <w:t xml:space="preserve">月</w:t>
      </w:r>
      <w:r>
        <w:rPr>
          <w:rFonts w:hint="eastAsia" w:ascii="宋体" w:hAnsi="宋体" w:eastAsia="宋体" w:cs="宋体"/>
          <w:b/>
          <w:bCs/>
          <w:u w:val="single"/>
          <w:lang w:val="en-US" w:eastAsia="zh-CN"/>
        </w:rPr>
        <w:t xml:space="preserve">2</w:t>
      </w:r>
      <w:bookmarkStart w:id="253" w:name="_GoBack"/>
      <w:r/>
      <w:bookmarkEnd w:id="253"/>
      <w:r>
        <w:rPr>
          <w:rFonts w:hint="eastAsia" w:ascii="宋体" w:hAnsi="宋体" w:eastAsia="宋体" w:cs="宋体"/>
          <w:b/>
          <w:bCs/>
          <w:u w:val="single"/>
        </w:rPr>
        <w:t xml:space="preserve">日</w:t>
      </w:r>
      <w:r>
        <w:rPr>
          <w:rFonts w:hint="eastAsia" w:ascii="宋体" w:hAnsi="宋体" w:eastAsia="宋体" w:cs="宋体"/>
          <w:b/>
          <w:bCs/>
          <w:u w:val="single"/>
          <w:lang w:val="en-US" w:eastAsia="zh-CN"/>
        </w:rPr>
        <w:t xml:space="preserve">09</w:t>
      </w:r>
      <w:r>
        <w:rPr>
          <w:rFonts w:hint="eastAsia" w:ascii="宋体" w:hAnsi="宋体" w:eastAsia="宋体" w:cs="宋体"/>
          <w:b/>
          <w:bCs/>
          <w:u w:val="single"/>
        </w:rPr>
        <w:t xml:space="preserve">时00分00秒</w:t>
      </w:r>
      <w:r>
        <w:rPr>
          <w:rFonts w:hint="eastAsia" w:ascii="宋体" w:hAnsi="宋体" w:eastAsia="宋体" w:cs="宋体"/>
          <w:b/>
          <w:bCs/>
        </w:rPr>
        <w:t xml:space="preserve">（</w:t>
      </w:r>
      <w:r>
        <w:rPr>
          <w:rFonts w:hint="eastAsia" w:ascii="宋体" w:hAnsi="宋体" w:eastAsia="宋体" w:cs="宋体"/>
        </w:rPr>
        <w:t xml:space="preserve">北京时间）。</w:t>
      </w:r>
      <w:r/>
    </w:p>
    <w:p>
      <w:pPr>
        <w:pStyle w:val="6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2.地点：苏采云“不见面”开标大厅 。</w:t>
      </w:r>
      <w:r/>
    </w:p>
    <w:p>
      <w:pPr>
        <w:pStyle w:val="643"/>
        <w:ind w:firstLine="498"/>
        <w:jc w:val="both"/>
        <w:keepLines/>
        <w:keepNext/>
        <w:spacing w:beforeAutospacing="0" w:afterAutospacing="0" w:line="360" w:lineRule="auto"/>
        <w:rPr>
          <w:rFonts w:ascii="宋体" w:hAnsi="宋体" w:eastAsia="宋体" w:cs="宋体"/>
        </w:rPr>
      </w:pPr>
      <w:r/>
      <w:bookmarkStart w:id="49" w:name="_Toc28359007"/>
      <w:r/>
      <w:bookmarkStart w:id="50" w:name="_Toc35393794"/>
      <w:r/>
      <w:bookmarkStart w:id="51" w:name="_Toc38985267"/>
      <w:r/>
      <w:bookmarkStart w:id="52" w:name="_Toc28359084"/>
      <w:r/>
      <w:bookmarkStart w:id="53" w:name="_Toc35393625"/>
      <w:r>
        <w:rPr>
          <w:rFonts w:hint="eastAsia" w:ascii="宋体" w:hAnsi="宋体" w:eastAsia="宋体" w:cs="宋体"/>
          <w:b/>
        </w:rPr>
        <w:t xml:space="preserve">五、公告期限</w:t>
      </w:r>
      <w:bookmarkEnd w:id="49"/>
      <w:r/>
      <w:bookmarkEnd w:id="50"/>
      <w:r/>
      <w:bookmarkEnd w:id="51"/>
      <w:r/>
      <w:bookmarkEnd w:id="52"/>
      <w:r/>
      <w:bookmarkEnd w:id="53"/>
      <w:r/>
      <w:r/>
    </w:p>
    <w:p>
      <w:pPr>
        <w:pStyle w:val="643"/>
        <w:ind w:firstLine="561"/>
        <w:jc w:val="both"/>
        <w:spacing w:beforeAutospacing="0" w:afterAutospacing="0" w:line="360" w:lineRule="auto"/>
        <w:shd w:val="clear" w:color="auto" w:fill="ffffff"/>
        <w:widowControl/>
        <w:rPr>
          <w:rFonts w:ascii="宋体" w:hAnsi="宋体" w:eastAsia="宋体" w:cs="宋体"/>
          <w:shd w:val="clear" w:color="auto" w:fill="ffffff"/>
        </w:rPr>
      </w:pPr>
      <w:r/>
      <w:bookmarkStart w:id="54" w:name="_Toc35393626"/>
      <w:r/>
      <w:bookmarkStart w:id="55" w:name="_Toc38985268"/>
      <w:r/>
      <w:bookmarkStart w:id="56" w:name="_Toc35393795"/>
      <w:r>
        <w:rPr>
          <w:rFonts w:hint="eastAsia" w:ascii="宋体" w:hAnsi="宋体" w:eastAsia="宋体" w:cs="宋体"/>
          <w:shd w:val="clear" w:color="auto" w:fill="ffffff"/>
        </w:rPr>
        <w:t xml:space="preserve">自本公告发布之日起5个工作日。</w:t>
      </w:r>
      <w:bookmarkEnd w:id="54"/>
      <w:r/>
      <w:bookmarkEnd w:id="55"/>
      <w:r/>
      <w:bookmarkEnd w:id="56"/>
      <w:r/>
      <w:r/>
    </w:p>
    <w:p>
      <w:pPr>
        <w:pStyle w:val="643"/>
        <w:ind w:firstLine="498"/>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六、其他补充事宜</w:t>
      </w:r>
      <w:r/>
    </w:p>
    <w:p>
      <w:pPr>
        <w:pStyle w:val="643"/>
        <w:ind w:firstLine="560"/>
        <w:jc w:val="both"/>
        <w:spacing w:beforeAutospacing="0" w:afterAutospacing="0" w:line="360" w:lineRule="auto"/>
        <w:shd w:val="clear" w:color="auto" w:fill="ffffff"/>
        <w:widowControl/>
        <w:rPr>
          <w:rFonts w:ascii="宋体" w:hAnsi="宋体" w:eastAsia="宋体" w:cs="宋体"/>
          <w:shd w:val="clear" w:color="auto" w:fill="ffffff"/>
        </w:rPr>
      </w:pPr>
      <w:r/>
      <w:bookmarkStart w:id="57"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43"/>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43"/>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2.潜在供应商访问电子招标响应交易平台的网络地址和方法： </w:t>
      </w:r>
      <w:r/>
    </w:p>
    <w:p>
      <w:pPr>
        <w:pStyle w:val="643"/>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43"/>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2.2 潜在投标人访问“苏采云”系统方法：江苏省政府采购网首页-“苏采云”链接。 </w:t>
      </w:r>
      <w:r/>
    </w:p>
    <w:p>
      <w:pPr>
        <w:pStyle w:val="643"/>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2.3 采购文件（后缀名为“.kedt”）、供应商操作手册及政府采购客户端 工具可通过“苏采云”系统相应链接进行下载。 </w:t>
      </w:r>
      <w:r/>
    </w:p>
    <w:p>
      <w:pPr>
        <w:pStyle w:val="643"/>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2.4 采购代理机构将数据电文形式的采购文件加载至“苏采云”系统，供潜在供应商下载或者查阅。 </w:t>
      </w:r>
      <w:r/>
    </w:p>
    <w:p>
      <w:pPr>
        <w:pStyle w:val="643"/>
        <w:ind w:firstLine="54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2.5 请潜在投标单位提前安装相应的控件（详见《“苏采云”系统供应商操作手册》）并使用谷歌浏览器登录“苏采云”系统参与不见面开评标。</w:t>
      </w:r>
      <w:r/>
    </w:p>
    <w:p>
      <w:pPr>
        <w:ind w:firstLine="480"/>
        <w:jc w:val="left"/>
        <w:spacing w:line="360" w:lineRule="auto"/>
        <w:widowControl/>
        <w:rPr>
          <w:rFonts w:ascii="宋体" w:hAnsi="宋体" w:eastAsia="宋体" w:cs="宋体"/>
          <w:sz w:val="24"/>
          <w:shd w:val="clear" w:color="auto" w:fill="ffffff"/>
        </w:rPr>
      </w:pPr>
      <w:r>
        <w:rPr>
          <w:rFonts w:hint="eastAsia" w:ascii="宋体" w:hAnsi="宋体" w:eastAsia="宋体" w:cs="宋体"/>
          <w:sz w:val="24"/>
        </w:rPr>
        <w:t xml:space="preserve">如潜在投标人未按上述要求操作，将自行承担所产生的风险。</w:t>
      </w:r>
      <w:r/>
    </w:p>
    <w:p>
      <w:pPr>
        <w:pStyle w:val="643"/>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w:t>
      </w:r>
      <w:r>
        <w:rPr>
          <w:rFonts w:hint="eastAsia" w:ascii="宋体" w:hAnsi="宋体" w:eastAsia="宋体" w:cs="宋体"/>
          <w:shd w:val="clear" w:color="auto" w:fill="ffffff"/>
          <w:lang w:eastAsia="zh-CN"/>
        </w:rPr>
        <w:t xml:space="preserve">滨海县政府采购中心</w:t>
      </w:r>
      <w:r>
        <w:rPr>
          <w:rFonts w:hint="eastAsia" w:ascii="宋体" w:hAnsi="宋体" w:eastAsia="宋体" w:cs="宋体"/>
          <w:shd w:val="clear" w:color="auto" w:fill="ffffff"/>
        </w:rPr>
        <w:t xml:space="preserve">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643"/>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629"/>
        <w:ind w:firstLine="482"/>
        <w:jc w:val="both"/>
        <w:spacing w:beforeAutospacing="0" w:afterAutospacing="0" w:line="360" w:lineRule="auto"/>
        <w:shd w:val="clear" w:color="auto" w:fill="ffffff"/>
        <w:widowControl/>
        <w:rPr>
          <w:rFonts w:hint="default" w:cs="宋体"/>
          <w:sz w:val="24"/>
          <w:szCs w:val="24"/>
        </w:rPr>
      </w:pPr>
      <w:r>
        <w:rPr>
          <w:rFonts w:cs="宋体"/>
          <w:sz w:val="24"/>
          <w:szCs w:val="24"/>
          <w:shd w:val="clear" w:color="auto" w:fill="ffffff"/>
        </w:rPr>
        <w:t xml:space="preserve">七、对本次招标提出询问，请按以下方式联系。</w:t>
      </w:r>
      <w:bookmarkEnd w:id="57"/>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名  称：滨海县人民医院</w:t>
      </w:r>
      <w:r/>
    </w:p>
    <w:p>
      <w:pPr>
        <w:ind w:firstLine="480"/>
        <w:spacing w:line="360" w:lineRule="auto"/>
        <w:rPr>
          <w:rFonts w:ascii="宋体" w:hAnsi="宋体" w:eastAsia="宋体" w:cs="宋体"/>
          <w:sz w:val="24"/>
        </w:rPr>
      </w:pPr>
      <w:r>
        <w:rPr>
          <w:rFonts w:hint="eastAsia" w:ascii="宋体" w:hAnsi="宋体" w:eastAsia="宋体" w:cs="宋体"/>
          <w:sz w:val="24"/>
        </w:rPr>
        <w:t xml:space="preserve">地  址：</w:t>
      </w:r>
      <w:bookmarkStart w:id="58" w:name="OLE_LINK9"/>
      <w:r/>
      <w:bookmarkStart w:id="59" w:name="OLE_LINK10"/>
      <w:r>
        <w:rPr>
          <w:rFonts w:hint="eastAsia" w:ascii="宋体" w:hAnsi="宋体" w:eastAsia="宋体" w:cs="宋体"/>
          <w:sz w:val="24"/>
        </w:rPr>
        <w:t xml:space="preserve">滨海县海滨大道299号</w:t>
      </w:r>
      <w:bookmarkEnd w:id="58"/>
      <w:r/>
      <w:bookmarkEnd w:id="59"/>
      <w:r/>
      <w:r/>
    </w:p>
    <w:p>
      <w:pPr>
        <w:ind w:firstLine="480"/>
        <w:spacing w:line="360" w:lineRule="auto"/>
        <w:rPr>
          <w:rFonts w:ascii="宋体" w:hAnsi="宋体" w:eastAsia="宋体" w:cs="宋体"/>
          <w:sz w:val="24"/>
        </w:rPr>
      </w:pPr>
      <w:r>
        <w:rPr>
          <w:rFonts w:hint="eastAsia" w:ascii="宋体" w:hAnsi="宋体" w:eastAsia="宋体" w:cs="宋体"/>
          <w:sz w:val="24"/>
        </w:rPr>
        <w:t xml:space="preserve">联 系人：</w:t>
      </w:r>
      <w:r>
        <w:rPr>
          <w:rFonts w:hint="eastAsia" w:ascii="宋体" w:hAnsi="宋体" w:eastAsia="宋体" w:cs="宋体"/>
          <w:sz w:val="24"/>
          <w:shd w:val="clear" w:color="auto" w:fill="ffffff"/>
        </w:rPr>
        <w:t xml:space="preserve">代先生</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shd w:val="clear" w:color="auto" w:fill="ffffff"/>
        </w:rPr>
        <w:t xml:space="preserve">18051681603</w:t>
      </w:r>
      <w:r/>
    </w:p>
    <w:p>
      <w:pPr>
        <w:ind w:firstLine="480"/>
        <w:spacing w:line="360" w:lineRule="auto"/>
        <w:rPr>
          <w:rFonts w:hint="eastAsia" w:ascii="宋体" w:hAnsi="宋体" w:eastAsia="宋体"/>
          <w:sz w:val="24"/>
        </w:rPr>
      </w:pPr>
      <w:r>
        <w:rPr>
          <w:rFonts w:hint="eastAsia" w:ascii="宋体" w:hAnsi="宋体" w:eastAsia="宋体"/>
          <w:sz w:val="24"/>
        </w:rPr>
        <w:t xml:space="preserve">2.采购代理机构信息</w:t>
      </w:r>
      <w:r/>
    </w:p>
    <w:p>
      <w:pPr>
        <w:ind w:firstLine="480"/>
        <w:spacing w:line="360" w:lineRule="auto"/>
        <w:rPr>
          <w:rFonts w:hint="eastAsia" w:ascii="宋体" w:hAnsi="宋体" w:eastAsia="宋体"/>
          <w:sz w:val="24"/>
        </w:rPr>
      </w:pPr>
      <w:r>
        <w:rPr>
          <w:rFonts w:hint="eastAsia" w:ascii="宋体" w:hAnsi="宋体" w:eastAsia="宋体"/>
          <w:sz w:val="24"/>
        </w:rPr>
        <w:t xml:space="preserve">名 称：</w:t>
      </w:r>
      <w:bookmarkStart w:id="60" w:name="_Hlk193104570"/>
      <w:r/>
      <w:bookmarkStart w:id="61" w:name="OLE_LINK1"/>
      <w:r>
        <w:rPr>
          <w:rFonts w:hint="eastAsia" w:ascii="宋体" w:hAnsi="宋体" w:eastAsia="宋体"/>
          <w:sz w:val="24"/>
        </w:rPr>
        <w:t xml:space="preserve">滨海县公共资源交易中心</w:t>
      </w:r>
      <w:bookmarkEnd w:id="60"/>
      <w:r>
        <w:rPr>
          <w:rFonts w:hint="eastAsia" w:ascii="宋体" w:hAnsi="宋体" w:eastAsia="宋体"/>
          <w:sz w:val="24"/>
        </w:rPr>
        <w:t xml:space="preserve">（滨海县政府采购中心）</w:t>
      </w:r>
      <w:bookmarkEnd w:id="61"/>
      <w:r/>
      <w:r/>
    </w:p>
    <w:p>
      <w:pPr>
        <w:ind w:firstLine="480"/>
        <w:spacing w:line="360" w:lineRule="auto"/>
        <w:rPr>
          <w:rFonts w:hint="eastAsia" w:ascii="宋体" w:hAnsi="宋体" w:eastAsia="宋体"/>
          <w:sz w:val="24"/>
        </w:rPr>
      </w:pPr>
      <w:r>
        <w:rPr>
          <w:rFonts w:hint="eastAsia" w:ascii="宋体" w:hAnsi="宋体" w:eastAsia="宋体"/>
          <w:sz w:val="24"/>
        </w:rPr>
        <w:t xml:space="preserve">地 址： 滨海县县城育才路166号</w:t>
      </w:r>
      <w:r/>
    </w:p>
    <w:p>
      <w:pPr>
        <w:ind w:firstLine="480"/>
        <w:spacing w:line="360" w:lineRule="auto"/>
        <w:rPr>
          <w:rFonts w:hint="eastAsia" w:ascii="宋体" w:hAnsi="宋体" w:eastAsia="宋体"/>
          <w:sz w:val="24"/>
        </w:rPr>
      </w:pPr>
      <w:r>
        <w:rPr>
          <w:rFonts w:hint="eastAsia" w:ascii="宋体" w:hAnsi="宋体" w:eastAsia="宋体"/>
          <w:sz w:val="24"/>
        </w:rPr>
        <w:t xml:space="preserve">联系人：</w:t>
      </w:r>
      <w:r>
        <w:rPr>
          <w:rFonts w:hint="eastAsia" w:ascii="宋体" w:hAnsi="宋体" w:eastAsia="宋体"/>
          <w:sz w:val="24"/>
          <w:lang w:val="en-US" w:eastAsia="zh-CN"/>
        </w:rPr>
        <w:t xml:space="preserve">薛先生</w:t>
      </w:r>
      <w:r>
        <w:rPr>
          <w:rFonts w:hint="eastAsia" w:ascii="宋体" w:hAnsi="宋体" w:eastAsia="宋体"/>
          <w:sz w:val="24"/>
        </w:rPr>
        <w:t xml:space="preserve">、何先生 </w:t>
      </w:r>
      <w:r/>
    </w:p>
    <w:p>
      <w:pPr>
        <w:ind w:firstLine="480"/>
        <w:spacing w:line="360" w:lineRule="auto"/>
        <w:rPr>
          <w:rFonts w:hint="eastAsia" w:ascii="宋体" w:hAnsi="宋体" w:eastAsia="宋体"/>
          <w:sz w:val="24"/>
        </w:rPr>
      </w:pPr>
      <w:r>
        <w:rPr>
          <w:rFonts w:hint="eastAsia" w:ascii="宋体" w:hAnsi="宋体" w:eastAsia="宋体"/>
          <w:sz w:val="24"/>
        </w:rPr>
        <w:t xml:space="preserve">联系方式：</w:t>
      </w:r>
      <w:r>
        <w:rPr>
          <w:rFonts w:hint="eastAsia" w:ascii="宋体" w:hAnsi="宋体" w:eastAsia="宋体" w:cs="宋体"/>
          <w:color w:val="000000"/>
          <w:sz w:val="24"/>
          <w:u w:val="none"/>
          <w:lang w:val="en-US" w:eastAsia="zh-CN"/>
        </w:rPr>
        <w:t xml:space="preserve">13196661111</w:t>
      </w:r>
      <w:r>
        <w:rPr>
          <w:rFonts w:hint="eastAsia" w:ascii="宋体" w:hAnsi="宋体" w:eastAsia="宋体"/>
          <w:sz w:val="24"/>
        </w:rPr>
        <w:t xml:space="preserve">、</w:t>
      </w:r>
      <w:bookmarkStart w:id="62" w:name="_Toc28359087"/>
      <w:r/>
      <w:bookmarkStart w:id="63" w:name="_Toc28359010"/>
      <w:r>
        <w:rPr>
          <w:rFonts w:ascii="宋体" w:hAnsi="宋体" w:eastAsia="宋体"/>
          <w:sz w:val="24"/>
        </w:rPr>
        <w:t xml:space="preserve">17802663818</w:t>
      </w:r>
      <w:r>
        <w:rPr>
          <w:rFonts w:hint="eastAsia" w:ascii="宋体" w:hAnsi="宋体" w:eastAsia="宋体"/>
          <w:sz w:val="24"/>
        </w:rPr>
        <w:t xml:space="preserve"> </w:t>
      </w:r>
      <w:bookmarkEnd w:id="62"/>
      <w:r/>
      <w:bookmarkEnd w:id="63"/>
      <w:r>
        <w:rPr>
          <w:rFonts w:hint="eastAsia" w:ascii="宋体" w:hAnsi="宋体" w:eastAsia="宋体"/>
          <w:sz w:val="24"/>
        </w:rPr>
        <w:t xml:space="preserve"> </w:t>
      </w:r>
      <w:r/>
    </w:p>
    <w:p>
      <w:pPr>
        <w:ind w:firstLine="480"/>
        <w:spacing w:line="360" w:lineRule="auto"/>
        <w:rPr>
          <w:rFonts w:hint="eastAsia" w:ascii="宋体" w:hAnsi="宋体" w:eastAsia="宋体"/>
          <w:sz w:val="24"/>
        </w:rPr>
      </w:pPr>
      <w:r/>
      <w:bookmarkStart w:id="64" w:name="_Toc28359021"/>
      <w:r>
        <w:rPr>
          <w:rFonts w:hint="eastAsia" w:ascii="宋体" w:hAnsi="宋体" w:eastAsia="宋体"/>
          <w:sz w:val="24"/>
        </w:rPr>
        <w:t xml:space="preserve">3.</w:t>
      </w:r>
      <w:bookmarkEnd w:id="64"/>
      <w:r>
        <w:rPr>
          <w:rFonts w:hint="eastAsia" w:ascii="宋体" w:hAnsi="宋体" w:eastAsia="宋体"/>
          <w:sz w:val="24"/>
        </w:rPr>
        <w:t xml:space="preserve">项目联系方式</w:t>
      </w:r>
      <w:r/>
    </w:p>
    <w:p>
      <w:pPr>
        <w:ind w:firstLine="480"/>
        <w:spacing w:line="360" w:lineRule="auto"/>
        <w:rPr>
          <w:rFonts w:hint="eastAsia" w:ascii="宋体" w:hAnsi="宋体" w:eastAsia="宋体"/>
          <w:sz w:val="24"/>
        </w:rPr>
      </w:pPr>
      <w:r>
        <w:rPr>
          <w:rFonts w:hint="eastAsia" w:ascii="宋体" w:hAnsi="宋体" w:eastAsia="宋体"/>
          <w:sz w:val="24"/>
        </w:rPr>
        <w:t xml:space="preserve">项目联系人：</w:t>
      </w:r>
      <w:r>
        <w:rPr>
          <w:rFonts w:hint="eastAsia" w:ascii="宋体" w:hAnsi="宋体" w:eastAsia="宋体"/>
          <w:sz w:val="24"/>
          <w:lang w:val="en-US" w:eastAsia="zh-CN"/>
        </w:rPr>
        <w:t xml:space="preserve">薛先生</w:t>
      </w:r>
      <w:r>
        <w:rPr>
          <w:rFonts w:hint="eastAsia" w:ascii="宋体" w:hAnsi="宋体" w:eastAsia="宋体"/>
          <w:sz w:val="24"/>
        </w:rPr>
        <w:t xml:space="preserve">、何先生</w:t>
      </w:r>
      <w:r/>
    </w:p>
    <w:p>
      <w:pPr>
        <w:ind w:firstLine="480"/>
        <w:spacing w:line="360" w:lineRule="auto"/>
        <w:rPr>
          <w:rFonts w:hint="eastAsia" w:ascii="宋体" w:hAnsi="宋体" w:eastAsia="宋体" w:cs="宋体"/>
          <w:color w:val="333333"/>
          <w:shd w:val="clear" w:color="auto" w:fill="ffffff"/>
        </w:rPr>
      </w:pPr>
      <w:r>
        <w:rPr>
          <w:rFonts w:hint="eastAsia" w:ascii="宋体" w:hAnsi="宋体" w:eastAsia="宋体"/>
          <w:sz w:val="24"/>
        </w:rPr>
        <w:t xml:space="preserve">电　　 话：</w:t>
      </w:r>
      <w:r>
        <w:rPr>
          <w:rFonts w:hint="eastAsia" w:ascii="宋体" w:hAnsi="宋体" w:eastAsia="宋体" w:cs="宋体"/>
          <w:color w:val="000000"/>
          <w:sz w:val="24"/>
          <w:u w:val="none"/>
          <w:lang w:val="en-US" w:eastAsia="zh-CN"/>
        </w:rPr>
        <w:t xml:space="preserve">13196661111</w:t>
      </w:r>
      <w:r>
        <w:rPr>
          <w:rFonts w:hint="eastAsia" w:ascii="宋体" w:hAnsi="宋体" w:eastAsia="宋体" w:cs="宋体"/>
          <w:color w:val="333333"/>
          <w:sz w:val="24"/>
          <w:shd w:val="clear" w:color="auto" w:fill="ffffff"/>
        </w:rPr>
        <w:t xml:space="preserve">、</w:t>
      </w:r>
      <w:r>
        <w:rPr>
          <w:rFonts w:ascii="宋体" w:hAnsi="宋体" w:eastAsia="宋体"/>
          <w:sz w:val="24"/>
        </w:rPr>
        <w:t xml:space="preserve">17802663818</w:t>
      </w:r>
      <w:r/>
    </w:p>
    <w:p>
      <w:pPr>
        <w:ind w:firstLine="480"/>
        <w:spacing w:line="360" w:lineRule="auto"/>
        <w:rPr>
          <w:rFonts w:ascii="宋体" w:hAnsi="宋体" w:eastAsia="宋体" w:cs="宋体"/>
          <w:sz w:val="24"/>
          <w:shd w:val="clear" w:color="auto" w:fill="ffffff"/>
        </w:rPr>
      </w:pPr>
      <w:r>
        <w:rPr>
          <w:rFonts w:ascii="宋体" w:hAnsi="宋体" w:eastAsia="宋体" w:cs="宋体"/>
          <w:sz w:val="24"/>
          <w:shd w:val="clear" w:color="auto" w:fill="ffffff"/>
        </w:rPr>
      </w:r>
      <w:r/>
    </w:p>
    <w:p>
      <w:pPr>
        <w:pStyle w:val="643"/>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　　　　　　　　　　　</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sz w:val="24"/>
        </w:rPr>
      </w:pPr>
      <w:r>
        <w:rPr>
          <w:rFonts w:hint="eastAsia" w:ascii="宋体" w:hAnsi="宋体" w:eastAsia="宋体" w:cs="宋体"/>
          <w:sz w:val="24"/>
        </w:rPr>
        <w:br w:type="page" w:clear="all"/>
      </w:r>
      <w:bookmarkStart w:id="65" w:name="_Toc120614211"/>
      <w:r/>
      <w:r/>
    </w:p>
    <w:p>
      <w:pPr>
        <w:pStyle w:val="643"/>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65"/>
      <w:r/>
      <w:bookmarkStart w:id="66" w:name="_Toc120614213"/>
      <w:r/>
      <w:bookmarkStart w:id="67" w:name="_Toc20823274"/>
      <w:r/>
      <w:bookmarkStart w:id="68" w:name="_Toc513029202"/>
      <w:r/>
      <w:bookmarkStart w:id="69" w:name="_Toc16938518"/>
      <w:r>
        <w:rPr>
          <w:rFonts w:hint="eastAsia" w:ascii="黑体" w:hAnsi="宋体" w:eastAsia="黑体" w:cs="黑体"/>
          <w:b/>
          <w:sz w:val="44"/>
          <w:szCs w:val="44"/>
        </w:rPr>
        <w:t xml:space="preserve">投标人须知</w:t>
      </w:r>
      <w:bookmarkEnd w:id="66"/>
      <w:r/>
      <w:bookmarkEnd w:id="67"/>
      <w:r/>
      <w:bookmarkEnd w:id="68"/>
      <w:r/>
      <w:bookmarkEnd w:id="69"/>
      <w:r/>
      <w:r/>
    </w:p>
    <w:p>
      <w:pPr>
        <w:pStyle w:val="643"/>
        <w:ind w:firstLine="482"/>
        <w:jc w:val="both"/>
        <w:keepLines/>
        <w:keepNext/>
        <w:spacing w:beforeAutospacing="0" w:afterAutospacing="0" w:line="520" w:lineRule="exact"/>
        <w:rPr>
          <w:rFonts w:ascii="宋体" w:hAnsi="宋体" w:eastAsia="宋体" w:cs="宋体"/>
        </w:rPr>
      </w:pPr>
      <w:r/>
      <w:bookmarkStart w:id="70" w:name="_Toc20823275"/>
      <w:r/>
      <w:bookmarkStart w:id="71" w:name="_Toc16938519"/>
      <w:r/>
      <w:bookmarkStart w:id="72" w:name="_Toc120614214"/>
      <w:r/>
      <w:bookmarkStart w:id="73" w:name="_Toc513029203"/>
      <w:r>
        <w:rPr>
          <w:rFonts w:hint="eastAsia" w:ascii="宋体" w:hAnsi="宋体" w:eastAsia="宋体" w:cs="宋体"/>
          <w:b/>
        </w:rPr>
        <w:t xml:space="preserve">一、总则</w:t>
      </w:r>
      <w:bookmarkEnd w:id="70"/>
      <w:r/>
      <w:bookmarkEnd w:id="71"/>
      <w:r/>
      <w:bookmarkEnd w:id="72"/>
      <w:r/>
      <w:bookmarkEnd w:id="73"/>
      <w:r/>
      <w:r/>
    </w:p>
    <w:p>
      <w:pPr>
        <w:pStyle w:val="643"/>
        <w:ind w:firstLine="480"/>
        <w:jc w:val="both"/>
        <w:keepLines/>
        <w:keepNext/>
        <w:spacing w:beforeAutospacing="0" w:afterAutospacing="0" w:line="520" w:lineRule="exact"/>
        <w:rPr>
          <w:rFonts w:ascii="宋体" w:hAnsi="宋体" w:eastAsia="宋体" w:cs="宋体"/>
        </w:rPr>
      </w:pPr>
      <w:r/>
      <w:bookmarkStart w:id="74" w:name="_Toc20823276"/>
      <w:r/>
      <w:bookmarkStart w:id="75" w:name="_Toc513029204"/>
      <w:r/>
      <w:bookmarkStart w:id="76" w:name="_Toc16938520"/>
      <w:r/>
      <w:bookmarkStart w:id="77" w:name="_Toc458694821"/>
      <w:r/>
      <w:bookmarkStart w:id="78" w:name="_Hlt16619475"/>
      <w:r>
        <w:rPr>
          <w:rFonts w:hint="eastAsia" w:ascii="宋体" w:hAnsi="宋体" w:eastAsia="宋体" w:cs="宋体"/>
        </w:rPr>
        <w:t xml:space="preserve">1</w:t>
      </w:r>
      <w:bookmarkEnd w:id="74"/>
      <w:r>
        <w:rPr>
          <w:rFonts w:hint="eastAsia" w:ascii="宋体" w:hAnsi="宋体" w:eastAsia="宋体" w:cs="宋体"/>
        </w:rPr>
        <w:t xml:space="preserve">、招标方式</w:t>
      </w:r>
      <w:bookmarkEnd w:id="75"/>
      <w:r/>
      <w:bookmarkEnd w:id="76"/>
      <w:r/>
      <w:bookmarkEnd w:id="77"/>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643"/>
        <w:ind w:firstLine="480"/>
        <w:jc w:val="both"/>
        <w:keepLines/>
        <w:keepNext/>
        <w:spacing w:beforeAutospacing="0" w:afterAutospacing="0" w:line="520" w:lineRule="exact"/>
        <w:rPr>
          <w:rFonts w:ascii="宋体" w:hAnsi="宋体" w:eastAsia="宋体" w:cs="宋体"/>
        </w:rPr>
      </w:pPr>
      <w:r/>
      <w:bookmarkStart w:id="79" w:name="_Toc20823277"/>
      <w:r/>
      <w:bookmarkStart w:id="80" w:name="_Toc16938521"/>
      <w:r/>
      <w:bookmarkStart w:id="81" w:name="_Toc513029205"/>
      <w:r>
        <w:rPr>
          <w:rFonts w:hint="eastAsia" w:ascii="宋体" w:hAnsi="宋体" w:eastAsia="宋体" w:cs="宋体"/>
        </w:rPr>
        <w:t xml:space="preserve">2、合格的投标人</w:t>
      </w:r>
      <w:bookmarkEnd w:id="79"/>
      <w:r/>
      <w:bookmarkEnd w:id="80"/>
      <w:r/>
      <w:bookmarkEnd w:id="81"/>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643"/>
        <w:ind w:firstLine="480"/>
        <w:jc w:val="both"/>
        <w:keepLines/>
        <w:keepNext/>
        <w:spacing w:beforeAutospacing="0" w:afterAutospacing="0" w:line="520" w:lineRule="exact"/>
        <w:rPr>
          <w:rFonts w:ascii="宋体" w:hAnsi="宋体" w:eastAsia="宋体" w:cs="宋体"/>
        </w:rPr>
      </w:pPr>
      <w:r/>
      <w:bookmarkStart w:id="82" w:name="_Toc513029206"/>
      <w:r/>
      <w:bookmarkStart w:id="83" w:name="_Toc20823278"/>
      <w:r/>
      <w:bookmarkStart w:id="84" w:name="_Toc16938522"/>
      <w:r>
        <w:rPr>
          <w:rFonts w:hint="eastAsia" w:ascii="宋体" w:hAnsi="宋体" w:eastAsia="宋体" w:cs="宋体"/>
        </w:rPr>
        <w:t xml:space="preserve">3、适用法律</w:t>
      </w:r>
      <w:bookmarkEnd w:id="82"/>
      <w:r/>
      <w:bookmarkEnd w:id="83"/>
      <w:r/>
      <w:bookmarkEnd w:id="84"/>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643"/>
        <w:ind w:firstLine="480"/>
        <w:jc w:val="both"/>
        <w:keepLines/>
        <w:keepNext/>
        <w:spacing w:beforeAutospacing="0" w:afterAutospacing="0" w:line="520" w:lineRule="exact"/>
        <w:rPr>
          <w:rFonts w:ascii="宋体" w:hAnsi="宋体" w:eastAsia="宋体" w:cs="宋体"/>
        </w:rPr>
      </w:pPr>
      <w:r/>
      <w:bookmarkStart w:id="85" w:name="_Toc16938523"/>
      <w:r/>
      <w:bookmarkStart w:id="86" w:name="_Toc462564067"/>
      <w:r/>
      <w:bookmarkStart w:id="87" w:name="_Toc513029207"/>
      <w:r/>
      <w:bookmarkStart w:id="88" w:name="_Toc20823279"/>
      <w:r>
        <w:rPr>
          <w:rFonts w:hint="eastAsia" w:ascii="宋体" w:hAnsi="宋体" w:eastAsia="宋体" w:cs="宋体"/>
        </w:rPr>
        <w:t xml:space="preserve">4、投标费用</w:t>
      </w:r>
      <w:bookmarkEnd w:id="85"/>
      <w:r/>
      <w:bookmarkEnd w:id="86"/>
      <w:r/>
      <w:bookmarkEnd w:id="87"/>
      <w:r/>
      <w:bookmarkEnd w:id="88"/>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w:t>
      </w:r>
      <w:r>
        <w:rPr>
          <w:rFonts w:hint="eastAsia" w:ascii="宋体" w:hAnsi="宋体" w:eastAsia="宋体" w:cs="宋体"/>
          <w:lang w:val="en-US" w:eastAsia="zh-CN"/>
        </w:rPr>
        <w:t xml:space="preserve">采购人或</w:t>
      </w:r>
      <w:r>
        <w:rPr>
          <w:rFonts w:hint="eastAsia" w:ascii="宋体" w:hAnsi="宋体" w:eastAsia="宋体" w:cs="宋体"/>
          <w:color w:val="000000"/>
        </w:rPr>
        <w:t xml:space="preserve">滨海县公共资源交易中心（滨海县政府采购中心）（以下简称采购中心）在任何情况下均无义务和责任承担这些费用</w:t>
      </w:r>
      <w:r>
        <w:rPr>
          <w:rFonts w:hint="eastAsia" w:ascii="宋体" w:hAnsi="宋体" w:eastAsia="宋体" w:cs="宋体"/>
        </w:rPr>
        <w:t xml:space="preserve">。</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4.2本次招标采购中心和采购人不收取标书工本费与中标服务费。</w:t>
      </w:r>
      <w:r/>
    </w:p>
    <w:p>
      <w:pPr>
        <w:pStyle w:val="643"/>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bCs/>
        </w:rPr>
        <w:t xml:space="preserve">5、</w:t>
      </w:r>
      <w:r>
        <w:rPr>
          <w:rFonts w:hint="eastAsia" w:ascii="宋体" w:hAnsi="宋体" w:eastAsia="宋体" w:cs="宋体"/>
        </w:rPr>
        <w:t xml:space="preserve">招标文件的约束力</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643"/>
        <w:ind w:firstLine="482"/>
        <w:jc w:val="both"/>
        <w:keepLines/>
        <w:keepNext/>
        <w:spacing w:beforeAutospacing="0" w:afterAutospacing="0" w:line="520" w:lineRule="exact"/>
        <w:rPr>
          <w:rFonts w:ascii="宋体" w:hAnsi="宋体" w:eastAsia="宋体" w:cs="宋体"/>
        </w:rPr>
      </w:pPr>
      <w:r/>
      <w:bookmarkStart w:id="89" w:name="_Toc120614215"/>
      <w:r/>
      <w:bookmarkStart w:id="90" w:name="_Toc16938525"/>
      <w:r/>
      <w:bookmarkStart w:id="91" w:name="_Toc513029209"/>
      <w:r/>
      <w:bookmarkStart w:id="92" w:name="_Toc20823281"/>
      <w:r>
        <w:rPr>
          <w:rFonts w:hint="eastAsia" w:ascii="宋体" w:hAnsi="宋体" w:eastAsia="宋体" w:cs="宋体"/>
          <w:b/>
        </w:rPr>
        <w:t xml:space="preserve">二、招标文件</w:t>
      </w:r>
      <w:bookmarkEnd w:id="89"/>
      <w:r/>
      <w:bookmarkEnd w:id="90"/>
      <w:r/>
      <w:bookmarkEnd w:id="91"/>
      <w:r/>
      <w:bookmarkEnd w:id="92"/>
      <w:r/>
      <w:r/>
    </w:p>
    <w:p>
      <w:pPr>
        <w:pStyle w:val="643"/>
        <w:ind w:firstLine="480"/>
        <w:jc w:val="both"/>
        <w:keepLines/>
        <w:keepNext/>
        <w:spacing w:beforeAutospacing="0" w:afterAutospacing="0" w:line="520" w:lineRule="exact"/>
        <w:rPr>
          <w:rFonts w:ascii="宋体" w:hAnsi="宋体" w:eastAsia="宋体" w:cs="宋体"/>
        </w:rPr>
      </w:pPr>
      <w:r/>
      <w:bookmarkStart w:id="93" w:name="_Toc20823282"/>
      <w:r/>
      <w:bookmarkStart w:id="94" w:name="_Toc16938526"/>
      <w:r/>
      <w:bookmarkStart w:id="95" w:name="_Toc513029210"/>
      <w:r>
        <w:rPr>
          <w:rFonts w:hint="eastAsia" w:ascii="宋体" w:hAnsi="宋体" w:eastAsia="宋体" w:cs="宋体"/>
        </w:rPr>
        <w:t xml:space="preserve">6、招标文件构成</w:t>
      </w:r>
      <w:bookmarkEnd w:id="93"/>
      <w:r/>
      <w:bookmarkEnd w:id="94"/>
      <w:r/>
      <w:bookmarkEnd w:id="95"/>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请仔细检查招标文件是否齐全，如有缺漏请立即与采购中心联系解决。</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3"/>
        <w:ind w:firstLine="480"/>
        <w:jc w:val="both"/>
        <w:keepLines/>
        <w:keepNext/>
        <w:spacing w:beforeAutospacing="0" w:afterAutospacing="0" w:line="520" w:lineRule="exact"/>
        <w:rPr>
          <w:rFonts w:ascii="宋体" w:hAnsi="宋体" w:eastAsia="宋体" w:cs="宋体"/>
        </w:rPr>
      </w:pPr>
      <w:r/>
      <w:bookmarkStart w:id="96" w:name="_Toc20823283"/>
      <w:r/>
      <w:bookmarkStart w:id="97" w:name="_Toc513029211"/>
      <w:r/>
      <w:bookmarkStart w:id="98" w:name="_Toc16938527"/>
      <w:r/>
      <w:bookmarkStart w:id="99" w:name="_Toc462564070"/>
      <w:r>
        <w:rPr>
          <w:rFonts w:hint="eastAsia" w:ascii="宋体" w:hAnsi="宋体" w:eastAsia="宋体" w:cs="宋体"/>
        </w:rPr>
        <w:t xml:space="preserve">7、招标文件的澄清</w:t>
      </w:r>
      <w:bookmarkEnd w:id="96"/>
      <w:r/>
      <w:bookmarkEnd w:id="97"/>
      <w:r/>
      <w:bookmarkEnd w:id="98"/>
      <w:r/>
      <w:bookmarkEnd w:id="99"/>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前按招标公告中的通讯地址，以书面形式通知采购中心。</w:t>
      </w:r>
      <w:r/>
    </w:p>
    <w:p>
      <w:pPr>
        <w:pStyle w:val="643"/>
        <w:ind w:firstLine="480"/>
        <w:jc w:val="both"/>
        <w:keepLines/>
        <w:keepNext/>
        <w:spacing w:beforeAutospacing="0" w:afterAutospacing="0" w:line="520" w:lineRule="exact"/>
        <w:rPr>
          <w:rFonts w:ascii="宋体" w:hAnsi="宋体" w:eastAsia="宋体" w:cs="宋体"/>
        </w:rPr>
      </w:pPr>
      <w:r/>
      <w:bookmarkStart w:id="100" w:name="_Toc16938528"/>
      <w:r/>
      <w:bookmarkStart w:id="101" w:name="_Toc513029212"/>
      <w:r/>
      <w:bookmarkStart w:id="102" w:name="_Toc20823284"/>
      <w:r/>
      <w:bookmarkStart w:id="103" w:name="_Toc462564071"/>
      <w:r>
        <w:rPr>
          <w:rFonts w:hint="eastAsia" w:ascii="宋体" w:hAnsi="宋体" w:eastAsia="宋体" w:cs="宋体"/>
        </w:rPr>
        <w:t xml:space="preserve">8、招标文件的修改</w:t>
      </w:r>
      <w:bookmarkEnd w:id="100"/>
      <w:r/>
      <w:bookmarkEnd w:id="101"/>
      <w:r/>
      <w:bookmarkEnd w:id="102"/>
      <w:r/>
      <w:bookmarkEnd w:id="103"/>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在投标截止时间前，采购中心可以对招标文件进行修改。</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采购中心有权按照法定的要求推迟投标截止日期和开标日期。</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643"/>
        <w:ind w:firstLine="482"/>
        <w:jc w:val="both"/>
        <w:keepLines/>
        <w:keepNext/>
        <w:spacing w:beforeAutospacing="0" w:afterAutospacing="0" w:line="520" w:lineRule="exact"/>
        <w:rPr>
          <w:rFonts w:ascii="宋体" w:hAnsi="宋体" w:eastAsia="宋体" w:cs="宋体"/>
        </w:rPr>
      </w:pPr>
      <w:r/>
      <w:bookmarkStart w:id="104" w:name="_Toc462564072"/>
      <w:r/>
      <w:bookmarkStart w:id="105" w:name="_Toc16938529"/>
      <w:r/>
      <w:bookmarkStart w:id="106" w:name="_Toc120614216"/>
      <w:r/>
      <w:bookmarkStart w:id="107" w:name="_Toc20823285"/>
      <w:r/>
      <w:bookmarkStart w:id="108" w:name="_Toc513029213"/>
      <w:r>
        <w:rPr>
          <w:rFonts w:hint="eastAsia" w:ascii="宋体" w:hAnsi="宋体" w:eastAsia="宋体" w:cs="宋体"/>
          <w:b/>
        </w:rPr>
        <w:t xml:space="preserve">三、投标文件的编制</w:t>
      </w:r>
      <w:bookmarkEnd w:id="104"/>
      <w:r/>
      <w:bookmarkEnd w:id="105"/>
      <w:r/>
      <w:bookmarkEnd w:id="106"/>
      <w:r/>
      <w:bookmarkEnd w:id="107"/>
      <w:r/>
      <w:bookmarkEnd w:id="108"/>
      <w:r/>
      <w:r/>
    </w:p>
    <w:p>
      <w:pPr>
        <w:pStyle w:val="643"/>
        <w:ind w:firstLine="480"/>
        <w:jc w:val="both"/>
        <w:keepLines/>
        <w:keepNext/>
        <w:spacing w:beforeAutospacing="0" w:afterAutospacing="0" w:line="520" w:lineRule="exact"/>
        <w:rPr>
          <w:rFonts w:ascii="宋体" w:hAnsi="宋体" w:eastAsia="宋体" w:cs="宋体"/>
        </w:rPr>
      </w:pPr>
      <w:r/>
      <w:bookmarkStart w:id="109" w:name="_Toc20823286"/>
      <w:r/>
      <w:bookmarkStart w:id="110" w:name="_Toc16938530"/>
      <w:r/>
      <w:bookmarkStart w:id="111" w:name="_Toc513029214"/>
      <w:r/>
      <w:bookmarkStart w:id="112" w:name="_Toc462564073"/>
      <w:r>
        <w:rPr>
          <w:rFonts w:hint="eastAsia" w:ascii="宋体" w:hAnsi="宋体" w:eastAsia="宋体" w:cs="宋体"/>
        </w:rPr>
        <w:t xml:space="preserve">9、投标文件的语言及度量衡单位</w:t>
      </w:r>
      <w:bookmarkEnd w:id="109"/>
      <w:r/>
      <w:bookmarkEnd w:id="110"/>
      <w:r/>
      <w:bookmarkEnd w:id="111"/>
      <w:r/>
      <w:bookmarkEnd w:id="112"/>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投标人提交的投标文件以及投标人与采购中心就有关投标的所有来往通知、函件和文件均应使用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643"/>
        <w:ind w:firstLine="480"/>
        <w:jc w:val="both"/>
        <w:keepLines/>
        <w:keepNext/>
        <w:spacing w:beforeAutospacing="0" w:afterAutospacing="0" w:line="520" w:lineRule="exact"/>
        <w:rPr>
          <w:rFonts w:ascii="宋体" w:hAnsi="宋体" w:eastAsia="宋体" w:cs="宋体"/>
        </w:rPr>
      </w:pPr>
      <w:r/>
      <w:bookmarkStart w:id="113" w:name="_Toc20823287"/>
      <w:r/>
      <w:bookmarkStart w:id="114" w:name="_Toc513029215"/>
      <w:r/>
      <w:bookmarkStart w:id="115" w:name="_Toc462564074"/>
      <w:r/>
      <w:bookmarkStart w:id="116" w:name="_Toc16938531"/>
      <w:r>
        <w:rPr>
          <w:rFonts w:hint="eastAsia" w:ascii="宋体" w:hAnsi="宋体" w:eastAsia="宋体" w:cs="宋体"/>
        </w:rPr>
        <w:t xml:space="preserve">10、投标文件构成</w:t>
      </w:r>
      <w:bookmarkEnd w:id="113"/>
      <w:r/>
      <w:bookmarkEnd w:id="114"/>
      <w:r/>
      <w:bookmarkEnd w:id="115"/>
      <w:r/>
      <w:bookmarkEnd w:id="116"/>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643"/>
        <w:ind w:firstLine="480"/>
        <w:jc w:val="both"/>
        <w:keepLines/>
        <w:keepNext/>
        <w:spacing w:beforeAutospacing="0" w:afterAutospacing="0" w:line="520" w:lineRule="exact"/>
        <w:rPr>
          <w:rFonts w:ascii="宋体" w:hAnsi="宋体" w:eastAsia="宋体" w:cs="宋体"/>
        </w:rPr>
      </w:pPr>
      <w:r/>
      <w:bookmarkStart w:id="117" w:name="_Toc14577355"/>
      <w:r/>
      <w:bookmarkStart w:id="118" w:name="_Toc49090508"/>
      <w:r/>
      <w:bookmarkStart w:id="119" w:name="_Toc14577357"/>
      <w:r/>
      <w:bookmarkStart w:id="120" w:name="_Toc14577354"/>
      <w:r/>
      <w:bookmarkStart w:id="121" w:name="_Toc513029216"/>
      <w:r/>
      <w:bookmarkStart w:id="122" w:name="_Toc513029219"/>
      <w:r/>
      <w:bookmarkStart w:id="123" w:name="_Toc49090507"/>
      <w:r/>
      <w:bookmarkStart w:id="124" w:name="_Toc49090509"/>
      <w:r/>
      <w:bookmarkStart w:id="125" w:name="_Hlt26668975"/>
      <w:r/>
      <w:bookmarkStart w:id="126" w:name="_Hlt26670360"/>
      <w:r/>
      <w:bookmarkStart w:id="127" w:name="_Hlt26954838"/>
      <w:r>
        <w:rPr>
          <w:rFonts w:hint="eastAsia" w:ascii="宋体" w:hAnsi="宋体" w:eastAsia="宋体" w:cs="宋体"/>
        </w:rPr>
        <w:t xml:space="preserve">11、证明投标人及投标标的符合招标文件规定的文件</w:t>
      </w:r>
      <w:bookmarkEnd w:id="117"/>
      <w:r/>
      <w:bookmarkEnd w:id="118"/>
      <w:r/>
      <w:bookmarkEnd w:id="119"/>
      <w:r/>
      <w:bookmarkEnd w:id="120"/>
      <w:r/>
      <w:bookmarkEnd w:id="121"/>
      <w:r/>
      <w:bookmarkEnd w:id="122"/>
      <w:r/>
      <w:bookmarkEnd w:id="123"/>
      <w:r/>
      <w:bookmarkEnd w:id="124"/>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43"/>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43"/>
        <w:ind w:firstLine="480"/>
        <w:jc w:val="both"/>
        <w:keepLines/>
        <w:keepNext/>
        <w:spacing w:beforeAutospacing="0" w:afterAutospacing="0" w:line="520" w:lineRule="exact"/>
        <w:rPr>
          <w:rFonts w:ascii="宋体" w:hAnsi="宋体" w:eastAsia="宋体" w:cs="宋体"/>
        </w:rPr>
      </w:pPr>
      <w:r/>
      <w:bookmarkStart w:id="128" w:name="_Hlt26954846"/>
      <w:r/>
      <w:bookmarkStart w:id="129" w:name="_Hlt26954731"/>
      <w:r/>
      <w:bookmarkStart w:id="130" w:name="_Hlt26670482"/>
      <w:r/>
      <w:bookmarkStart w:id="131" w:name="_Hlt26670486"/>
      <w:r/>
      <w:bookmarkStart w:id="132" w:name="_Hlt26954848"/>
      <w:r>
        <w:rPr>
          <w:rFonts w:hint="eastAsia" w:ascii="宋体" w:hAnsi="宋体" w:eastAsia="宋体" w:cs="宋体"/>
        </w:rPr>
        <w:t xml:space="preserve">13、技术要求响应及偏离表、商务要求响应及偏离表</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643"/>
        <w:ind w:firstLine="480"/>
        <w:jc w:val="both"/>
        <w:keepLines/>
        <w:keepNext/>
        <w:spacing w:beforeAutospacing="0" w:afterAutospacing="0" w:line="520" w:lineRule="exact"/>
        <w:rPr>
          <w:rFonts w:ascii="宋体" w:hAnsi="宋体" w:eastAsia="宋体" w:cs="宋体"/>
        </w:rPr>
      </w:pPr>
      <w:r/>
      <w:bookmarkStart w:id="133" w:name="_Toc49090510"/>
      <w:r/>
      <w:bookmarkStart w:id="134" w:name="_Toc14577359"/>
      <w:r>
        <w:rPr>
          <w:rFonts w:hint="eastAsia" w:ascii="宋体" w:hAnsi="宋体" w:eastAsia="宋体" w:cs="宋体"/>
        </w:rPr>
        <w:t xml:space="preserve">1</w:t>
      </w:r>
      <w:r>
        <w:rPr>
          <w:rFonts w:hint="eastAsia" w:ascii="宋体" w:hAnsi="宋体" w:eastAsia="宋体" w:cs="宋体"/>
          <w:lang w:val="en-US" w:eastAsia="zh-CN"/>
        </w:rPr>
        <w:t xml:space="preserve">4</w:t>
      </w:r>
      <w:r>
        <w:rPr>
          <w:rFonts w:hint="eastAsia" w:ascii="宋体" w:hAnsi="宋体" w:eastAsia="宋体" w:cs="宋体"/>
        </w:rPr>
        <w:t xml:space="preserve">、投标函和开标一览表</w:t>
      </w:r>
      <w:bookmarkEnd w:id="133"/>
      <w:r/>
      <w:bookmarkEnd w:id="134"/>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4</w:t>
      </w:r>
      <w:r>
        <w:rPr>
          <w:rFonts w:hint="eastAsia" w:ascii="宋体" w:hAnsi="宋体" w:eastAsia="宋体" w:cs="宋体"/>
        </w:rPr>
        <w:t xml:space="preserve">.1 投标人应按照招标文件中提供的格式完整、正确填写投标函、开标一览表。</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4</w:t>
      </w:r>
      <w:r>
        <w:rPr>
          <w:rFonts w:hint="eastAsia" w:ascii="宋体" w:hAnsi="宋体" w:eastAsia="宋体" w:cs="宋体"/>
        </w:rPr>
        <w:t xml:space="preserve">.2 对于采用货币报价的项目，开标一览表中的投标总报价应与投标分项报价表中的投标总报价一致，如不一致，不作为无效投标处理，但评标时按开标一览表中价格为准。</w:t>
      </w:r>
      <w:r/>
    </w:p>
    <w:p>
      <w:pPr>
        <w:pStyle w:val="643"/>
        <w:ind w:firstLine="480"/>
        <w:jc w:val="both"/>
        <w:keepLines/>
        <w:keepNext/>
        <w:spacing w:beforeAutospacing="0" w:afterAutospacing="0" w:line="520" w:lineRule="exact"/>
        <w:rPr>
          <w:rFonts w:ascii="宋体" w:hAnsi="宋体" w:eastAsia="宋体" w:cs="宋体"/>
        </w:rPr>
      </w:pPr>
      <w:r/>
      <w:bookmarkStart w:id="135" w:name="_Toc14577360"/>
      <w:r/>
      <w:bookmarkStart w:id="136" w:name="_Toc49090511"/>
      <w:r>
        <w:rPr>
          <w:rFonts w:hint="eastAsia" w:ascii="宋体" w:hAnsi="宋体" w:eastAsia="宋体" w:cs="宋体"/>
        </w:rPr>
        <w:t xml:space="preserve">1</w:t>
      </w:r>
      <w:r>
        <w:rPr>
          <w:rFonts w:hint="eastAsia" w:ascii="宋体" w:hAnsi="宋体" w:eastAsia="宋体" w:cs="宋体"/>
          <w:lang w:val="en-US" w:eastAsia="zh-CN"/>
        </w:rPr>
        <w:t xml:space="preserve">5</w:t>
      </w:r>
      <w:r>
        <w:rPr>
          <w:rFonts w:hint="eastAsia" w:ascii="宋体" w:hAnsi="宋体" w:eastAsia="宋体" w:cs="宋体"/>
        </w:rPr>
        <w:t xml:space="preserve">、投标有效期</w:t>
      </w:r>
      <w:bookmarkEnd w:id="135"/>
      <w:r/>
      <w:bookmarkEnd w:id="136"/>
      <w:r>
        <w:rPr>
          <w:rFonts w:hint="eastAsia" w:ascii="宋体" w:hAnsi="宋体" w:eastAsia="宋体" w:cs="宋体"/>
        </w:rPr>
        <w:t xml:space="preserve">及投标有效期的延长</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5</w:t>
      </w:r>
      <w:r>
        <w:rPr>
          <w:rFonts w:hint="eastAsia" w:ascii="宋体" w:hAnsi="宋体" w:eastAsia="宋体" w:cs="宋体"/>
        </w:rPr>
        <w:t xml:space="preserve">.1投标有效期为采购中心规定的开标之日后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43"/>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6</w:t>
      </w:r>
      <w:r>
        <w:rPr>
          <w:rFonts w:hint="eastAsia" w:ascii="宋体" w:hAnsi="宋体" w:eastAsia="宋体" w:cs="宋体"/>
        </w:rPr>
        <w:t xml:space="preserve">、投标有效期的延长</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6</w:t>
      </w:r>
      <w:r>
        <w:rPr>
          <w:rFonts w:hint="eastAsia" w:ascii="宋体" w:hAnsi="宋体" w:eastAsia="宋体" w:cs="宋体"/>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643"/>
        <w:ind w:firstLine="482"/>
        <w:jc w:val="both"/>
        <w:keepLines/>
        <w:keepNext/>
        <w:spacing w:beforeAutospacing="0" w:afterAutospacing="0" w:line="520" w:lineRule="exact"/>
        <w:rPr>
          <w:rFonts w:ascii="宋体" w:hAnsi="宋体" w:eastAsia="宋体" w:cs="宋体"/>
        </w:rPr>
      </w:pPr>
      <w:r/>
      <w:bookmarkStart w:id="137" w:name="_Toc16938540"/>
      <w:r/>
      <w:bookmarkStart w:id="138" w:name="_Toc120614217"/>
      <w:r/>
      <w:bookmarkStart w:id="139" w:name="_Toc513029224"/>
      <w:r/>
      <w:bookmarkStart w:id="140" w:name="_Toc20823296"/>
      <w:r/>
      <w:bookmarkStart w:id="141" w:name="_Hlt26954852"/>
      <w:r/>
      <w:bookmarkStart w:id="142" w:name="_Hlt26954739"/>
      <w:r>
        <w:rPr>
          <w:rFonts w:hint="eastAsia" w:ascii="宋体" w:hAnsi="宋体" w:eastAsia="宋体" w:cs="宋体"/>
          <w:b/>
        </w:rPr>
        <w:t xml:space="preserve">四、投标文件的递交</w:t>
      </w:r>
      <w:bookmarkEnd w:id="137"/>
      <w:r/>
      <w:bookmarkEnd w:id="138"/>
      <w:r/>
      <w:bookmarkEnd w:id="139"/>
      <w:r/>
      <w:bookmarkEnd w:id="140"/>
      <w:r/>
      <w:r/>
    </w:p>
    <w:p>
      <w:pPr>
        <w:pStyle w:val="643"/>
        <w:ind w:firstLine="480"/>
        <w:jc w:val="both"/>
        <w:spacing w:beforeAutospacing="0" w:afterAutospacing="0" w:line="520" w:lineRule="exact"/>
        <w:rPr>
          <w:rFonts w:ascii="宋体" w:hAnsi="宋体" w:eastAsia="宋体" w:cs="宋体"/>
        </w:rPr>
      </w:pPr>
      <w:r/>
      <w:bookmarkStart w:id="143" w:name="_Toc513029225"/>
      <w:r/>
      <w:bookmarkStart w:id="144" w:name="_Toc16938541"/>
      <w:r/>
      <w:bookmarkStart w:id="145" w:name="_Toc20823297"/>
      <w:r/>
      <w:bookmarkStart w:id="146" w:name="_Toc462564084"/>
      <w:r>
        <w:rPr>
          <w:rFonts w:hint="eastAsia" w:ascii="宋体" w:hAnsi="宋体" w:eastAsia="宋体" w:cs="宋体"/>
        </w:rPr>
        <w:t xml:space="preserve">1</w:t>
      </w:r>
      <w:r>
        <w:rPr>
          <w:rFonts w:hint="eastAsia" w:ascii="宋体" w:hAnsi="宋体" w:eastAsia="宋体" w:cs="宋体"/>
          <w:lang w:val="en-US" w:eastAsia="zh-CN"/>
        </w:rPr>
        <w:t xml:space="preserve">7</w:t>
      </w:r>
      <w:r>
        <w:rPr>
          <w:rFonts w:hint="eastAsia" w:ascii="宋体" w:hAnsi="宋体" w:eastAsia="宋体" w:cs="宋体"/>
        </w:rPr>
        <w:t xml:space="preserve">、电子投标文件</w:t>
      </w:r>
      <w:bookmarkEnd w:id="143"/>
      <w:r/>
      <w:bookmarkEnd w:id="144"/>
      <w:r/>
      <w:bookmarkEnd w:id="145"/>
      <w:r/>
      <w:bookmarkEnd w:id="146"/>
      <w:r>
        <w:rPr>
          <w:rFonts w:hint="eastAsia" w:ascii="宋体" w:hAnsi="宋体" w:eastAsia="宋体" w:cs="宋体"/>
        </w:rPr>
        <w:t xml:space="preserve">的递交</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7</w:t>
      </w:r>
      <w:r>
        <w:rPr>
          <w:rFonts w:hint="eastAsia" w:ascii="宋体" w:hAnsi="宋体" w:eastAsia="宋体" w:cs="宋体"/>
        </w:rPr>
        <w:t xml:space="preserve">.1投标人应当按照《操作手册》规定，在投标截止时间前制作并上传电子投标文件。</w:t>
      </w:r>
      <w:bookmarkStart w:id="147" w:name="_Toc16938542"/>
      <w:r/>
      <w:bookmarkEnd w:id="147"/>
      <w:r/>
      <w:bookmarkStart w:id="148" w:name="_Toc20823298"/>
      <w:r/>
      <w:bookmarkEnd w:id="148"/>
      <w:r/>
      <w:bookmarkStart w:id="149" w:name="_Toc513029226"/>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8</w:t>
      </w:r>
      <w:r>
        <w:rPr>
          <w:rFonts w:hint="eastAsia" w:ascii="宋体" w:hAnsi="宋体" w:eastAsia="宋体" w:cs="宋体"/>
        </w:rPr>
        <w:t xml:space="preserve">、投标截止日期</w:t>
      </w:r>
      <w:r/>
    </w:p>
    <w:p>
      <w:pPr>
        <w:pStyle w:val="643"/>
        <w:ind w:firstLine="480"/>
        <w:jc w:val="both"/>
        <w:spacing w:beforeAutospacing="0" w:afterAutospacing="0" w:line="520" w:lineRule="exact"/>
        <w:rPr>
          <w:rFonts w:ascii="宋体" w:hAnsi="宋体" w:eastAsia="宋体" w:cs="宋体"/>
          <w:u w:val="single"/>
        </w:rPr>
      </w:pPr>
      <w:r>
        <w:rPr>
          <w:rFonts w:hint="eastAsia" w:ascii="宋体" w:hAnsi="宋体" w:eastAsia="宋体" w:cs="宋体"/>
        </w:rPr>
        <w:t xml:space="preserve">1</w:t>
      </w:r>
      <w:r>
        <w:rPr>
          <w:rFonts w:hint="eastAsia" w:ascii="宋体" w:hAnsi="宋体" w:eastAsia="宋体" w:cs="宋体"/>
          <w:lang w:val="en-US" w:eastAsia="zh-CN"/>
        </w:rPr>
        <w:t xml:space="preserve">8</w:t>
      </w:r>
      <w:r>
        <w:rPr>
          <w:rFonts w:hint="eastAsia" w:ascii="宋体" w:hAnsi="宋体" w:eastAsia="宋体" w:cs="宋体"/>
        </w:rPr>
        <w:t xml:space="preserve">.1 </w:t>
      </w:r>
      <w:r>
        <w:rPr>
          <w:rFonts w:hint="eastAsia" w:ascii="宋体" w:hAnsi="宋体" w:eastAsia="宋体" w:cs="宋体"/>
          <w:u w:val="single"/>
        </w:rPr>
        <w:t xml:space="preserve">投标人上传电子投标文件的时间不得迟于招标公告中规定的投标截止时间。</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lang w:val="en-US" w:eastAsia="zh-CN"/>
        </w:rPr>
        <w:t xml:space="preserve">6</w:t>
      </w:r>
      <w:r>
        <w:rPr>
          <w:rFonts w:hint="eastAsia" w:ascii="宋体" w:hAnsi="宋体" w:eastAsia="宋体" w:cs="宋体"/>
        </w:rPr>
        <w:t xml:space="preserve">.1.2条规定做无效投标处理。</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8</w:t>
      </w:r>
      <w:r>
        <w:rPr>
          <w:rFonts w:hint="eastAsia" w:ascii="宋体" w:hAnsi="宋体" w:eastAsia="宋体" w:cs="宋体"/>
        </w:rPr>
        <w:t xml:space="preserve">.2 采购中心可以按照规定，通过修改招标文件酌情延长投标截止日期，在此情况下，投标人的所有权利和义务以及投标人受制的截止日期均应以延长后新的截止日期为准。</w:t>
      </w:r>
      <w:r/>
    </w:p>
    <w:p>
      <w:pPr>
        <w:pStyle w:val="643"/>
        <w:ind w:firstLine="480"/>
        <w:jc w:val="both"/>
        <w:keepLines/>
        <w:keepNext/>
        <w:spacing w:beforeAutospacing="0" w:afterAutospacing="0" w:line="520" w:lineRule="exact"/>
        <w:rPr>
          <w:rFonts w:ascii="宋体" w:hAnsi="宋体" w:eastAsia="宋体" w:cs="宋体"/>
        </w:rPr>
      </w:pPr>
      <w:r/>
      <w:bookmarkStart w:id="150" w:name="_Toc20823299"/>
      <w:r/>
      <w:bookmarkStart w:id="151" w:name="_Toc513029227"/>
      <w:r/>
      <w:bookmarkStart w:id="152" w:name="_Toc16938543"/>
      <w:r>
        <w:rPr>
          <w:rFonts w:hint="eastAsia" w:ascii="宋体" w:hAnsi="宋体" w:eastAsia="宋体" w:cs="宋体"/>
          <w:lang w:val="en-US" w:eastAsia="zh-CN"/>
        </w:rPr>
        <w:t xml:space="preserve">19</w:t>
      </w:r>
      <w:r>
        <w:rPr>
          <w:rFonts w:hint="eastAsia" w:ascii="宋体" w:hAnsi="宋体" w:eastAsia="宋体" w:cs="宋体"/>
        </w:rPr>
        <w:t xml:space="preserve">、投标文件</w:t>
      </w:r>
      <w:bookmarkEnd w:id="150"/>
      <w:r/>
      <w:bookmarkEnd w:id="151"/>
      <w:r/>
      <w:bookmarkEnd w:id="152"/>
      <w:r>
        <w:rPr>
          <w:rFonts w:hint="eastAsia" w:ascii="宋体" w:hAnsi="宋体" w:eastAsia="宋体" w:cs="宋体"/>
        </w:rPr>
        <w:t xml:space="preserve">的拒收</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lang w:val="en-US" w:eastAsia="zh-CN"/>
        </w:rPr>
        <w:t xml:space="preserve">19</w:t>
      </w:r>
      <w:r>
        <w:rPr>
          <w:rFonts w:hint="eastAsia" w:ascii="宋体" w:hAnsi="宋体" w:eastAsia="宋体" w:cs="宋体"/>
        </w:rPr>
        <w:t xml:space="preserve">.1 采购中心拒绝接收在其规定的投标截止时间后上传的任何投标文件。</w:t>
      </w:r>
      <w:r/>
    </w:p>
    <w:p>
      <w:pPr>
        <w:pStyle w:val="643"/>
        <w:ind w:firstLine="480"/>
        <w:jc w:val="both"/>
        <w:keepLines/>
        <w:keepNext/>
        <w:spacing w:beforeAutospacing="0" w:afterAutospacing="0" w:line="520" w:lineRule="exact"/>
        <w:rPr>
          <w:rFonts w:ascii="宋体" w:hAnsi="宋体" w:eastAsia="宋体" w:cs="宋体"/>
        </w:rPr>
      </w:pPr>
      <w:r/>
      <w:bookmarkStart w:id="153" w:name="_Toc16938544"/>
      <w:r/>
      <w:bookmarkStart w:id="154" w:name="_Toc513029228"/>
      <w:r/>
      <w:bookmarkStart w:id="155" w:name="_Toc20823300"/>
      <w:r>
        <w:rPr>
          <w:rFonts w:hint="eastAsia" w:ascii="宋体" w:hAnsi="宋体" w:eastAsia="宋体" w:cs="宋体"/>
        </w:rPr>
        <w:t xml:space="preserve">2</w:t>
      </w:r>
      <w:r>
        <w:rPr>
          <w:rFonts w:hint="eastAsia" w:ascii="宋体" w:hAnsi="宋体" w:eastAsia="宋体" w:cs="宋体"/>
          <w:lang w:val="en-US" w:eastAsia="zh-CN"/>
        </w:rPr>
        <w:t xml:space="preserve">0</w:t>
      </w:r>
      <w:r>
        <w:rPr>
          <w:rFonts w:hint="eastAsia" w:ascii="宋体" w:hAnsi="宋体" w:eastAsia="宋体" w:cs="宋体"/>
        </w:rPr>
        <w:t xml:space="preserve">、投标文件的撤回和修改</w:t>
      </w:r>
      <w:bookmarkEnd w:id="153"/>
      <w:r/>
      <w:bookmarkEnd w:id="154"/>
      <w:r/>
      <w:bookmarkEnd w:id="155"/>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0</w:t>
      </w:r>
      <w:r>
        <w:rPr>
          <w:rFonts w:hint="eastAsia" w:ascii="宋体" w:hAnsi="宋体" w:eastAsia="宋体" w:cs="宋体"/>
        </w:rPr>
        <w:t xml:space="preserve">.1 投标文件的撤回</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0</w:t>
      </w:r>
      <w:r>
        <w:rPr>
          <w:rFonts w:hint="eastAsia" w:ascii="宋体" w:hAnsi="宋体" w:eastAsia="宋体" w:cs="宋体"/>
        </w:rPr>
        <w:t xml:space="preserve">.1.1 电子投标文件的撤回</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0</w:t>
      </w:r>
      <w:r>
        <w:rPr>
          <w:rFonts w:hint="eastAsia" w:ascii="宋体" w:hAnsi="宋体" w:eastAsia="宋体" w:cs="宋体"/>
        </w:rPr>
        <w:t xml:space="preserve">.1.2 投标人撤回电子投标文件，则认为其不再参与本项目投标活动。</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0</w:t>
      </w:r>
      <w:r>
        <w:rPr>
          <w:rFonts w:hint="eastAsia" w:ascii="宋体" w:hAnsi="宋体" w:eastAsia="宋体" w:cs="宋体"/>
        </w:rPr>
        <w:t xml:space="preserve">.2 投标文件的修改</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0</w:t>
      </w:r>
      <w:r>
        <w:rPr>
          <w:rFonts w:hint="eastAsia" w:ascii="宋体" w:hAnsi="宋体" w:eastAsia="宋体" w:cs="宋体"/>
        </w:rPr>
        <w:t xml:space="preserve">.2.1投标人可在投标截止时间前，对其电子投标文件进行修改，具体操作方法见《操作手册》。</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0</w:t>
      </w:r>
      <w:r>
        <w:rPr>
          <w:rFonts w:hint="eastAsia" w:ascii="宋体" w:hAnsi="宋体" w:eastAsia="宋体" w:cs="宋体"/>
        </w:rPr>
        <w:t xml:space="preserve">.2.2 在投标截止时间之后，投标人不得对其电子投标文件作任何修改。</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0</w:t>
      </w:r>
      <w:r>
        <w:rPr>
          <w:rFonts w:hint="eastAsia" w:ascii="宋体" w:hAnsi="宋体" w:eastAsia="宋体" w:cs="宋体"/>
        </w:rPr>
        <w:t xml:space="preserve">.3 在投标截止时间至招标文件中规定的投标有效期满之间的这段时间内，投标人不得撤回其投标。</w:t>
      </w:r>
      <w:r/>
    </w:p>
    <w:p>
      <w:pPr>
        <w:pStyle w:val="643"/>
        <w:ind w:firstLine="482"/>
        <w:jc w:val="both"/>
        <w:keepLines/>
        <w:keepNext/>
        <w:spacing w:beforeAutospacing="0" w:afterAutospacing="0" w:line="520" w:lineRule="exact"/>
        <w:rPr>
          <w:rFonts w:ascii="宋体" w:hAnsi="宋体" w:eastAsia="宋体" w:cs="宋体"/>
        </w:rPr>
      </w:pPr>
      <w:r/>
      <w:bookmarkStart w:id="156" w:name="_Toc20823301"/>
      <w:r/>
      <w:bookmarkStart w:id="157" w:name="_Toc513029229"/>
      <w:r/>
      <w:bookmarkStart w:id="158" w:name="_Toc120614218"/>
      <w:r/>
      <w:bookmarkStart w:id="159" w:name="_Toc16938545"/>
      <w:r>
        <w:rPr>
          <w:rFonts w:hint="eastAsia" w:ascii="宋体" w:hAnsi="宋体" w:eastAsia="宋体" w:cs="宋体"/>
          <w:b/>
        </w:rPr>
        <w:t xml:space="preserve">五、开标与评标</w:t>
      </w:r>
      <w:bookmarkEnd w:id="156"/>
      <w:r/>
      <w:bookmarkEnd w:id="157"/>
      <w:r/>
      <w:bookmarkEnd w:id="158"/>
      <w:r/>
      <w:bookmarkEnd w:id="159"/>
      <w:r/>
      <w:r/>
    </w:p>
    <w:p>
      <w:pPr>
        <w:pStyle w:val="643"/>
        <w:ind w:firstLine="480"/>
        <w:jc w:val="both"/>
        <w:keepLines/>
        <w:keepNext/>
        <w:spacing w:beforeAutospacing="0" w:afterAutospacing="0" w:line="520" w:lineRule="exact"/>
        <w:rPr>
          <w:rFonts w:ascii="宋体" w:hAnsi="宋体" w:eastAsia="宋体" w:cs="宋体"/>
        </w:rPr>
      </w:pPr>
      <w:r/>
      <w:bookmarkStart w:id="160" w:name="_Toc16938546"/>
      <w:r/>
      <w:bookmarkStart w:id="161" w:name="_Toc20823302"/>
      <w:r/>
      <w:bookmarkStart w:id="162" w:name="_Toc513029230"/>
      <w:r>
        <w:rPr>
          <w:rFonts w:hint="eastAsia" w:ascii="宋体" w:hAnsi="宋体" w:eastAsia="宋体" w:cs="宋体"/>
        </w:rPr>
        <w:t xml:space="preserve">2</w:t>
      </w:r>
      <w:r>
        <w:rPr>
          <w:rFonts w:hint="eastAsia" w:ascii="宋体" w:hAnsi="宋体" w:eastAsia="宋体" w:cs="宋体"/>
          <w:lang w:val="en-US" w:eastAsia="zh-CN"/>
        </w:rPr>
        <w:t xml:space="preserve">1</w:t>
      </w:r>
      <w:r>
        <w:rPr>
          <w:rFonts w:hint="eastAsia" w:ascii="宋体" w:hAnsi="宋体" w:eastAsia="宋体" w:cs="宋体"/>
        </w:rPr>
        <w:t xml:space="preserve">、开标</w:t>
      </w:r>
      <w:bookmarkEnd w:id="160"/>
      <w:r/>
      <w:bookmarkEnd w:id="161"/>
      <w:r/>
      <w:bookmarkEnd w:id="162"/>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1</w:t>
      </w:r>
      <w:r>
        <w:rPr>
          <w:rFonts w:hint="eastAsia" w:ascii="宋体" w:hAnsi="宋体" w:eastAsia="宋体" w:cs="宋体"/>
        </w:rPr>
        <w:t xml:space="preserve">.1 采购中心将在招标公告中规定的时间和地点组织公开开标。投标人应当按照《操作手册》规定，参加开标活动和在苏采云系统规定的时间内对投标文件进行解密。</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1</w:t>
      </w:r>
      <w:r>
        <w:rPr>
          <w:rFonts w:hint="eastAsia" w:ascii="宋体" w:hAnsi="宋体" w:eastAsia="宋体" w:cs="宋体"/>
        </w:rPr>
        <w:t xml:space="preserve">.2开标仪式由采购中心组织。苏采云系统将自动对项目进行开标，并宣布各投标人名称和投标价格。</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1</w:t>
      </w:r>
      <w:r>
        <w:rPr>
          <w:rFonts w:hint="eastAsia" w:ascii="宋体" w:hAnsi="宋体" w:eastAsia="宋体" w:cs="宋体"/>
        </w:rPr>
        <w:t xml:space="preserve">.3投标人在开标过程中涉及到的投标文件解密、开标结果确认等工作，应按照《操作手册》规定执行。</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1</w:t>
      </w:r>
      <w:r>
        <w:rPr>
          <w:rFonts w:hint="eastAsia" w:ascii="宋体" w:hAnsi="宋体" w:eastAsia="宋体" w:cs="宋体"/>
        </w:rPr>
        <w:t xml:space="preserve">.4投标人如果对开标过程和开标记录有疑义，应当根据《操作手册》规定提出，如苏采云系统中《开标记录表》宣布后5分钟内未提出的，视同认可开标结果。</w:t>
      </w:r>
      <w:r/>
    </w:p>
    <w:p>
      <w:pPr>
        <w:pStyle w:val="643"/>
        <w:ind w:firstLine="480"/>
        <w:jc w:val="both"/>
        <w:keepLines/>
        <w:keepNext/>
        <w:spacing w:beforeAutospacing="0" w:afterAutospacing="0" w:line="520" w:lineRule="exact"/>
        <w:rPr>
          <w:rFonts w:ascii="宋体" w:hAnsi="宋体" w:eastAsia="宋体" w:cs="宋体"/>
        </w:rPr>
      </w:pPr>
      <w:r/>
      <w:bookmarkStart w:id="163" w:name="_Toc20823303"/>
      <w:r/>
      <w:bookmarkStart w:id="164" w:name="_Toc513029231"/>
      <w:r/>
      <w:bookmarkStart w:id="165" w:name="_Toc16938547"/>
      <w:r>
        <w:rPr>
          <w:rFonts w:hint="eastAsia" w:ascii="宋体" w:hAnsi="宋体" w:eastAsia="宋体" w:cs="宋体"/>
        </w:rPr>
        <w:t xml:space="preserve">2</w:t>
      </w:r>
      <w:r>
        <w:rPr>
          <w:rFonts w:hint="eastAsia" w:ascii="宋体" w:hAnsi="宋体" w:eastAsia="宋体" w:cs="宋体"/>
          <w:lang w:val="en-US" w:eastAsia="zh-CN"/>
        </w:rPr>
        <w:t xml:space="preserve">2</w:t>
      </w:r>
      <w:r>
        <w:rPr>
          <w:rFonts w:hint="eastAsia" w:ascii="宋体" w:hAnsi="宋体" w:eastAsia="宋体" w:cs="宋体"/>
        </w:rPr>
        <w:t xml:space="preserve">、评标委员会</w:t>
      </w:r>
      <w:bookmarkEnd w:id="163"/>
      <w:r/>
      <w:bookmarkEnd w:id="164"/>
      <w:r/>
      <w:bookmarkEnd w:id="165"/>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2</w:t>
      </w:r>
      <w:r>
        <w:rPr>
          <w:rFonts w:hint="eastAsia" w:ascii="宋体" w:hAnsi="宋体" w:eastAsia="宋体" w:cs="宋体"/>
        </w:rPr>
        <w:t xml:space="preserve">.1</w:t>
      </w:r>
      <w:r>
        <w:rPr>
          <w:rFonts w:hint="eastAsia" w:ascii="宋体" w:hAnsi="宋体" w:eastAsia="宋体" w:cs="宋体"/>
          <w:b/>
        </w:rPr>
        <w:t xml:space="preserve"> </w:t>
      </w:r>
      <w:r>
        <w:rPr>
          <w:rFonts w:hint="eastAsia" w:ascii="宋体" w:hAnsi="宋体" w:eastAsia="宋体" w:cs="宋体"/>
        </w:rPr>
        <w:t xml:space="preserve">开标后，采购中心将立即组织评标委员会（以下简称评委会）进行评标。</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2</w:t>
      </w:r>
      <w:r>
        <w:rPr>
          <w:rFonts w:hint="eastAsia" w:ascii="宋体" w:hAnsi="宋体" w:eastAsia="宋体" w:cs="宋体"/>
        </w:rPr>
        <w:t xml:space="preserve">.2 评委会由采购人代表和有关技术、经济等方面的专家组成，且人员构成符合政府采购有关规定。</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2</w:t>
      </w:r>
      <w:r>
        <w:rPr>
          <w:rFonts w:hint="eastAsia" w:ascii="宋体" w:hAnsi="宋体" w:eastAsia="宋体" w:cs="宋体"/>
        </w:rPr>
        <w:t xml:space="preserve">.3评委会独立工作，负责评审所有投标文件并确定中标候选人。</w:t>
      </w:r>
      <w:r/>
    </w:p>
    <w:p>
      <w:pPr>
        <w:pStyle w:val="643"/>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3</w:t>
      </w:r>
      <w:r>
        <w:rPr>
          <w:rFonts w:hint="eastAsia" w:ascii="宋体" w:hAnsi="宋体" w:eastAsia="宋体" w:cs="宋体"/>
        </w:rPr>
        <w:t xml:space="preserve">．评标过程的保密与公正</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3</w:t>
      </w:r>
      <w:r>
        <w:rPr>
          <w:rFonts w:hint="eastAsia" w:ascii="宋体" w:hAnsi="宋体" w:eastAsia="宋体" w:cs="宋体"/>
        </w:rPr>
        <w:t xml:space="preserve">.1凡是与审查、澄清、评价和比较投标的有关资料以及授标建议等，采购人、评委、采购中心均不得向投标人或与评标无关的其他人员透露。</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3</w:t>
      </w:r>
      <w:r>
        <w:rPr>
          <w:rFonts w:hint="eastAsia" w:ascii="宋体" w:hAnsi="宋体" w:eastAsia="宋体" w:cs="宋体"/>
        </w:rPr>
        <w:t xml:space="preserve">.2在评标过程中，投标人不得以任何行为影响评标过程，否则其投标文件将被作为无效投标文件。</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3</w:t>
      </w:r>
      <w:r>
        <w:rPr>
          <w:rFonts w:hint="eastAsia" w:ascii="宋体" w:hAnsi="宋体" w:eastAsia="宋体" w:cs="宋体"/>
        </w:rPr>
        <w:t xml:space="preserve">.3 采购中心和评标委员会不向未中标的投标人解释未中标原因，也不公布评标过程中的相关细节。</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3</w:t>
      </w:r>
      <w:r>
        <w:rPr>
          <w:rFonts w:hint="eastAsia" w:ascii="宋体" w:hAnsi="宋体" w:eastAsia="宋体" w:cs="宋体"/>
        </w:rPr>
        <w:t xml:space="preserve">.4 采用综合评分法的项目，未中标的投标人可于中标结果公告期限届满之日起通过苏采云系统查看自己的评审得分及排序情况。</w:t>
      </w:r>
      <w:r/>
    </w:p>
    <w:p>
      <w:pPr>
        <w:pStyle w:val="643"/>
        <w:ind w:firstLine="480"/>
        <w:jc w:val="both"/>
        <w:keepLines/>
        <w:keepNext/>
        <w:spacing w:beforeAutospacing="0" w:afterAutospacing="0" w:line="520" w:lineRule="exact"/>
        <w:rPr>
          <w:rFonts w:ascii="宋体" w:hAnsi="宋体" w:eastAsia="宋体" w:cs="宋体"/>
        </w:rPr>
      </w:pPr>
      <w:r/>
      <w:bookmarkStart w:id="166" w:name="_Toc20823304"/>
      <w:r/>
      <w:bookmarkStart w:id="167" w:name="_Toc16938548"/>
      <w:r/>
      <w:bookmarkStart w:id="168" w:name="_Toc513029232"/>
      <w:r>
        <w:rPr>
          <w:rFonts w:hint="eastAsia" w:ascii="宋体" w:hAnsi="宋体" w:eastAsia="宋体" w:cs="宋体"/>
        </w:rPr>
        <w:t xml:space="preserve">2</w:t>
      </w:r>
      <w:r>
        <w:rPr>
          <w:rFonts w:hint="eastAsia" w:ascii="宋体" w:hAnsi="宋体" w:eastAsia="宋体" w:cs="宋体"/>
          <w:lang w:val="en-US" w:eastAsia="zh-CN"/>
        </w:rPr>
        <w:t xml:space="preserve">4</w:t>
      </w:r>
      <w:r>
        <w:rPr>
          <w:rFonts w:hint="eastAsia" w:ascii="宋体" w:hAnsi="宋体" w:eastAsia="宋体" w:cs="宋体"/>
        </w:rPr>
        <w:t xml:space="preserve">．投标文件的澄清</w:t>
      </w:r>
      <w:bookmarkEnd w:id="166"/>
      <w:r/>
      <w:bookmarkEnd w:id="167"/>
      <w:r/>
      <w:bookmarkEnd w:id="168"/>
      <w:r/>
      <w:r/>
    </w:p>
    <w:p>
      <w:pPr>
        <w:pStyle w:val="643"/>
        <w:ind w:firstLine="480"/>
        <w:jc w:val="both"/>
        <w:spacing w:beforeAutospacing="0" w:afterAutospacing="0" w:line="520" w:lineRule="exact"/>
        <w:rPr>
          <w:rFonts w:ascii="宋体" w:hAnsi="宋体" w:eastAsia="宋体" w:cs="宋体"/>
        </w:rPr>
      </w:pPr>
      <w:r/>
      <w:bookmarkStart w:id="169" w:name="_Toc513029233"/>
      <w:r/>
      <w:bookmarkStart w:id="170" w:name="_Toc16938549"/>
      <w:r/>
      <w:bookmarkStart w:id="171" w:name="_Toc20823305"/>
      <w:r>
        <w:rPr>
          <w:rFonts w:hint="eastAsia" w:ascii="宋体" w:hAnsi="宋体" w:eastAsia="宋体" w:cs="宋体"/>
        </w:rPr>
        <w:t xml:space="preserve">2</w:t>
      </w:r>
      <w:r>
        <w:rPr>
          <w:rFonts w:hint="eastAsia" w:ascii="宋体" w:hAnsi="宋体" w:eastAsia="宋体" w:cs="宋体"/>
          <w:lang w:val="en-US" w:eastAsia="zh-CN"/>
        </w:rPr>
        <w:t xml:space="preserve">4</w:t>
      </w:r>
      <w:r>
        <w:rPr>
          <w:rFonts w:hint="eastAsia" w:ascii="宋体" w:hAnsi="宋体" w:eastAsia="宋体" w:cs="宋体"/>
        </w:rPr>
        <w:t xml:space="preserve">.1评标期间，评委会对投标文件中含义不明确、同类问题表述不一致或者有明显文字和计算错误的内容，有权要求投标人作出必要的澄清、说明或者补正。</w:t>
      </w:r>
      <w:bookmarkEnd w:id="169"/>
      <w:r/>
      <w:bookmarkEnd w:id="170"/>
      <w:r/>
      <w:bookmarkEnd w:id="171"/>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评标委员会并非对每个投标人都做澄清要求。</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4</w:t>
      </w:r>
      <w:r>
        <w:rPr>
          <w:rFonts w:hint="eastAsia" w:ascii="宋体" w:hAnsi="宋体" w:eastAsia="宋体" w:cs="宋体"/>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4</w:t>
      </w:r>
      <w:r>
        <w:rPr>
          <w:rFonts w:hint="eastAsia" w:ascii="宋体" w:hAnsi="宋体" w:eastAsia="宋体" w:cs="宋体"/>
        </w:rPr>
        <w:t xml:space="preserve">.3 接到评委会澄清、说明和补正要求的投标人如未按规定作出澄清、说明和补正，其风险由投标人自行承担。</w:t>
      </w:r>
      <w:r/>
    </w:p>
    <w:p>
      <w:pPr>
        <w:pStyle w:val="643"/>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、对投标文件的初审</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.1投标文件初审分为资格审查和符合性审查。</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.1.1 资格审查：依据法律法规和招标文件的规定，由采购人对投标文件中的资格证明文件进行审查。资格审查的结论，采购人以书面形式向评委会进行反馈。</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.1.2 符合性审查：依据招标文件的规定，由评委会从投标文件的有效性、完整性和对招标文件的响应程度进行审查，以确定是否对招标文件的实质性要求作出响应。</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.1.3未通过资格审查或符合性审查的投标人，采购中心将在苏采云系统中告知未通过资格审查或符合性审查的原因，评审结束后，采购中心将不再告知未通过资格审查或符合性审查的原因。</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.3如果投标文件实质上没有响应招标文件的要求，评委会将予以拒绝，投标人不得通过修改或撤销不符合要求的偏离或保留而使其投标成为实质性响应的投标。</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.4评委会将对确定为实质性响应的投标进行进一步审核，看其是否有计算上或累加上的算术错误，修正错误的原则如下：</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.5评委会将按上述修正错误的方法调整投标文件中的投标报价，并通过苏采云系统告知投标人，调整后的价格应对投标人具有约束力。如果投标人不接受修正后的价格，则其投标将被拒绝。</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w:t>
      </w:r>
      <w:r>
        <w:rPr>
          <w:rFonts w:hint="eastAsia" w:ascii="宋体" w:hAnsi="宋体" w:eastAsia="宋体" w:cs="宋体"/>
          <w:lang w:val="en-US" w:eastAsia="zh-CN"/>
        </w:rPr>
        <w:t xml:space="preserve">6</w:t>
      </w:r>
      <w:r>
        <w:rPr>
          <w:rFonts w:hint="eastAsia" w:ascii="宋体" w:hAnsi="宋体" w:eastAsia="宋体" w:cs="宋体"/>
        </w:rPr>
        <w:t xml:space="preserve">投标人在开、评标全过程中应保持通信畅通，及时登录苏采云系统查阅、答复相关信息，并安排专人与采购中心及评标委员会联系。</w:t>
      </w:r>
      <w:r/>
    </w:p>
    <w:p>
      <w:pPr>
        <w:pStyle w:val="643"/>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、无效投标条款和废标条款</w:t>
      </w:r>
      <w:r/>
    </w:p>
    <w:p>
      <w:pPr>
        <w:pStyle w:val="643"/>
        <w:ind w:firstLine="480"/>
        <w:jc w:val="both"/>
        <w:spacing w:beforeAutospacing="0" w:afterAutospacing="0" w:line="520" w:lineRule="exact"/>
        <w:rPr>
          <w:rFonts w:ascii="宋体" w:hAnsi="宋体" w:eastAsia="宋体" w:cs="宋体"/>
        </w:rPr>
      </w:pPr>
      <w:r/>
      <w:bookmarkStart w:id="172" w:name="_Toc16938551"/>
      <w:r/>
      <w:bookmarkStart w:id="173" w:name="_Toc20823307"/>
      <w:r/>
      <w:bookmarkStart w:id="174" w:name="_Toc513029235"/>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.1无效投标条款</w:t>
      </w:r>
      <w:bookmarkEnd w:id="172"/>
      <w:r/>
      <w:bookmarkEnd w:id="173"/>
      <w:r/>
      <w:bookmarkEnd w:id="174"/>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.1.1 投标人在苏采云系统规定的时间内未成功解密电子投标文件的。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.1.2 投标人未按照招标文件要求上传电子投标文件的。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.1.3同一投标人提交两个（含两个）以上不同的投标报价的。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.1.4投标人不具备招标文件中规定资格要求的。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.1.5投标人的报价超过了采购预算或最高限价的。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.1.6未通过符合性审查的。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.1.9投标文件含有采购人不能接受的附加条件的。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.1.10投标人不能证明其报价合理性的，评标委员会应当将其作为无效投标处理。</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1.投标报价低于采购项目预算50%的，即投标报价&lt;采购项目预算×50%；</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2.投标报价低于采购项目最高限价45%的，即投标报价&lt;采购项目最高限价×45%；</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.1.11 投标文件未按照招标文件要求加盖CA电子公章的。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.1.12 其他法律、法规及本招标文件规定的属无效投标的情形。</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.2废标条款</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.2.1符合专业条件的供应商或者对招标文件作实质响应的供应商不足三家的。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.2.2出现影响采购公正的违法、违规行为的。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.2.3因重大变故，采购任务取消的。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.2.4评标委员会认定招标文件存在歧义、重大缺陷导致评审工作无法进行。</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.2.5 因苏采云系统故障原因造成开标不成功的。</w:t>
      </w:r>
      <w:r/>
    </w:p>
    <w:p>
      <w:pPr>
        <w:pStyle w:val="643"/>
        <w:ind w:firstLine="480"/>
        <w:jc w:val="both"/>
        <w:spacing w:beforeAutospacing="0" w:afterAutospacing="0" w:line="52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26.2.6 不能完全响应第四章采购需求内容的。</w:t>
      </w:r>
      <w:r/>
    </w:p>
    <w:p>
      <w:pPr>
        <w:pStyle w:val="643"/>
        <w:ind w:firstLine="480"/>
        <w:jc w:val="both"/>
        <w:spacing w:beforeAutospacing="0" w:afterAutospacing="0" w:line="520" w:lineRule="exact"/>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26.2.7 第四章中要求投标时提供的证明材料，未提供或提供不全或提供不符合要求的。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.3 投标截止时间结束后参加投标的供应商不足三家的处理：</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.3.1如出现投标截止时间结束后参加投标的供应商或者在评标期间对招标文件做出实质响应的供应商不足三家情况，按政府采购相关规定执行。</w:t>
      </w:r>
      <w:r/>
    </w:p>
    <w:p>
      <w:pPr>
        <w:pStyle w:val="643"/>
        <w:ind w:firstLine="482"/>
        <w:jc w:val="both"/>
        <w:keepLines/>
        <w:keepNext/>
        <w:spacing w:beforeAutospacing="0" w:afterAutospacing="0" w:line="520" w:lineRule="exact"/>
        <w:rPr>
          <w:rFonts w:ascii="宋体" w:hAnsi="宋体" w:eastAsia="宋体" w:cs="宋体"/>
        </w:rPr>
      </w:pPr>
      <w:r/>
      <w:bookmarkStart w:id="175" w:name="_Toc120614219"/>
      <w:r>
        <w:rPr>
          <w:rFonts w:hint="eastAsia" w:ascii="宋体" w:hAnsi="宋体" w:eastAsia="宋体" w:cs="宋体"/>
          <w:b/>
        </w:rPr>
        <w:t xml:space="preserve">六、定标</w:t>
      </w:r>
      <w:bookmarkEnd w:id="175"/>
      <w:r/>
      <w:r/>
    </w:p>
    <w:p>
      <w:pPr>
        <w:pStyle w:val="643"/>
        <w:ind w:firstLine="480"/>
        <w:jc w:val="both"/>
        <w:keepLines/>
        <w:keepNext/>
        <w:spacing w:beforeAutospacing="0" w:afterAutospacing="0" w:line="520" w:lineRule="exact"/>
        <w:rPr>
          <w:rFonts w:ascii="宋体" w:hAnsi="宋体" w:eastAsia="宋体" w:cs="宋体"/>
        </w:rPr>
      </w:pPr>
      <w:r/>
      <w:bookmarkStart w:id="176" w:name="_Toc20823310"/>
      <w:r/>
      <w:bookmarkStart w:id="177" w:name="_Toc16938554"/>
      <w:r/>
      <w:bookmarkStart w:id="178" w:name="_Toc513029238"/>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w:t>
      </w:r>
      <w:bookmarkEnd w:id="176"/>
      <w:r>
        <w:rPr>
          <w:rFonts w:hint="eastAsia" w:ascii="宋体" w:hAnsi="宋体" w:eastAsia="宋体" w:cs="宋体"/>
        </w:rPr>
        <w:t xml:space="preserve">确定</w:t>
      </w:r>
      <w:bookmarkEnd w:id="177"/>
      <w:r/>
      <w:bookmarkEnd w:id="178"/>
      <w:r>
        <w:rPr>
          <w:rFonts w:hint="eastAsia" w:ascii="宋体" w:hAnsi="宋体" w:eastAsia="宋体" w:cs="宋体"/>
        </w:rPr>
        <w:t xml:space="preserve">中标单位</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.1中标候选人的选取原则和数量见招标文件第五章规定。 </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.2 采购人应根据评委会推荐的中标候选人确定中标人。</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.3 采购中心将在中国政府采购网”“江苏政府采购网”“盐城市政府采购网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.4 若有充分证据证明，中标人出现下列情况之一的，一经查实，将被取消中标资格：</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.4.1提供虚假材料谋取中标的。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.4.2向采购人、采购中心行贿或者提供其他不正当利益的。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.4.3属于本文件规定的无效条件，但在评标过程中又未被评委会发现的。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.4.4与采购人或者其他供应商恶意串通的。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.4.5采取不正当手段诋毁、排挤其他供应商的。</w:t>
      </w:r>
      <w:r/>
    </w:p>
    <w:p>
      <w:pPr>
        <w:pStyle w:val="643"/>
        <w:ind w:firstLine="480"/>
        <w:jc w:val="both"/>
        <w:spacing w:beforeAutospacing="0" w:afterAutospacing="0" w:line="520" w:lineRule="exact"/>
        <w:rPr>
          <w:rFonts w:ascii="宋体" w:hAnsi="宋体" w:eastAsia="宋体" w:cs="宋体"/>
        </w:rPr>
      </w:pPr>
      <w:r/>
      <w:bookmarkStart w:id="179" w:name="_Toc200451960"/>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.5. 有下列情形之一的，视为投标人串通投标，投标无效：</w:t>
      </w:r>
      <w:bookmarkEnd w:id="179"/>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.5.1不同投标人的投标文件由同一单位或者个人编制；</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.5.2不同投标人委托同一单位或者个人办理投标事宜；</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.5.3 不同投标人的投标文件载明的项目管理成员或者联系人员为同一人；</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.5.4不同投标人的投标文件异常一致或者投标报价呈规律性差异；</w:t>
      </w:r>
      <w:r/>
    </w:p>
    <w:p>
      <w:pPr>
        <w:pStyle w:val="643"/>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、质疑处理</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.1 提出质疑的供应商应当是参与所质疑项目采购活动的供应商。潜在供应商依法获取其可质疑的采购文件的，可以对采购文件提出质疑。</w:t>
      </w:r>
      <w:r/>
    </w:p>
    <w:p>
      <w:pPr>
        <w:pStyle w:val="643"/>
        <w:ind w:firstLine="480"/>
        <w:jc w:val="both"/>
        <w:spacing w:beforeAutospacing="0" w:afterAutospacing="0" w:line="52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lang w:val="en-US" w:eastAsia="zh-CN"/>
        </w:rPr>
        <w:t xml:space="preserve">8</w:t>
      </w:r>
      <w:r>
        <w:rPr>
          <w:rFonts w:hint="eastAsia" w:ascii="宋体" w:hAnsi="宋体" w:eastAsia="宋体" w:cs="宋体"/>
        </w:rPr>
        <w:t xml:space="preserve">.4条款的规定向采购中心或采购人提出质疑。上述应知其权益受到损害之日，是指：</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.2.1对可以质疑的采购文件提出质疑的，为收到采购文件之日或者采购文件公告期限届满之日；</w:t>
      </w:r>
      <w:r>
        <w:rPr>
          <w:rFonts w:hint="eastAsia" w:ascii="宋体" w:hAnsi="宋体" w:eastAsia="宋体" w:cs="宋体"/>
        </w:rPr>
        <w:br/>
      </w:r>
      <w:r>
        <w:rPr>
          <w:rFonts w:hint="eastAsia" w:ascii="宋体" w:hAnsi="宋体" w:eastAsia="宋体" w:cs="宋体"/>
          <w:lang w:val="en-US" w:eastAsia="zh-CN"/>
        </w:rPr>
        <w:t xml:space="preserve">    </w:t>
      </w: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.2.2对采购过程提出质疑的，为各采购程序环节结束之日；</w:t>
      </w:r>
      <w:r>
        <w:rPr>
          <w:rFonts w:hint="eastAsia" w:ascii="宋体" w:hAnsi="宋体" w:eastAsia="宋体" w:cs="宋体"/>
        </w:rPr>
        <w:br/>
      </w:r>
      <w:r>
        <w:rPr>
          <w:rFonts w:hint="eastAsia" w:ascii="宋体" w:hAnsi="宋体" w:eastAsia="宋体" w:cs="宋体"/>
          <w:lang w:val="en-US" w:eastAsia="zh-CN"/>
        </w:rPr>
        <w:t xml:space="preserve">    </w:t>
      </w: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.2.3对中标或者成交结果提出质疑的，为中标或者成交结果公告期限届满之日。</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及采购中心只接收以纸质原件形式送达的质疑,采购人和采购中心不接受未填写快递运单的快件。质疑接收部门为公共资源交易中心业务受理处，联系地址：滨海县育才路166号滨海县政务服务中心三楼，联系电话：17802663818。</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.5 以下情形的质疑不予受理</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.5.1 内容不符合《政府采购质疑和投诉办法》第十二条规定的质疑。</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.5.2 超出政府采购法定期限的质疑。</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.5.3 以传真、电子邮件等方式递交的非原件形式的质疑。</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.5.4 未参加投标活动的供应商或在投标活动中自身权益未受到损害的供应商所提出的质疑。</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.5.5供应商组成联合体参加投标，联合体中任何一方或多方未按要求签字、盖章、加盖公章的质疑。</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43"/>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lang w:val="en-US" w:eastAsia="zh-CN"/>
        </w:rPr>
        <w:t xml:space="preserve">29</w:t>
      </w:r>
      <w:r>
        <w:rPr>
          <w:rFonts w:hint="eastAsia" w:ascii="宋体" w:hAnsi="宋体" w:eastAsia="宋体" w:cs="宋体"/>
        </w:rPr>
        <w:t xml:space="preserve">、中标通知书</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lang w:val="en-US" w:eastAsia="zh-CN"/>
        </w:rPr>
        <w:t xml:space="preserve">29</w:t>
      </w:r>
      <w:r>
        <w:rPr>
          <w:rFonts w:hint="eastAsia" w:ascii="宋体" w:hAnsi="宋体" w:eastAsia="宋体" w:cs="宋体"/>
        </w:rPr>
        <w:t xml:space="preserve">.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lang w:val="en-US" w:eastAsia="zh-CN"/>
        </w:rPr>
        <w:t xml:space="preserve">29</w:t>
      </w:r>
      <w:r>
        <w:rPr>
          <w:rFonts w:hint="eastAsia" w:ascii="宋体" w:hAnsi="宋体" w:eastAsia="宋体" w:cs="宋体"/>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643"/>
        <w:ind w:firstLine="482"/>
        <w:jc w:val="both"/>
        <w:keepLines/>
        <w:keepNext/>
        <w:spacing w:beforeAutospacing="0" w:afterAutospacing="0" w:line="520" w:lineRule="exact"/>
        <w:rPr>
          <w:rFonts w:ascii="宋体" w:hAnsi="宋体" w:eastAsia="宋体" w:cs="宋体"/>
        </w:rPr>
      </w:pPr>
      <w:r/>
      <w:bookmarkStart w:id="180" w:name="_Toc20823308"/>
      <w:r/>
      <w:bookmarkStart w:id="181" w:name="_Toc16938552"/>
      <w:r/>
      <w:bookmarkStart w:id="182" w:name="_Toc513029236"/>
      <w:r/>
      <w:bookmarkStart w:id="183" w:name="_Toc120614220"/>
      <w:r>
        <w:rPr>
          <w:rFonts w:hint="eastAsia" w:ascii="宋体" w:hAnsi="宋体" w:eastAsia="宋体" w:cs="宋体"/>
          <w:b/>
        </w:rPr>
        <w:t xml:space="preserve">七、授予合同</w:t>
      </w:r>
      <w:bookmarkEnd w:id="180"/>
      <w:r/>
      <w:bookmarkEnd w:id="181"/>
      <w:r/>
      <w:bookmarkEnd w:id="182"/>
      <w:r/>
      <w:bookmarkEnd w:id="183"/>
      <w:r/>
      <w:r/>
    </w:p>
    <w:p>
      <w:pPr>
        <w:pStyle w:val="643"/>
        <w:ind w:firstLine="480"/>
        <w:jc w:val="both"/>
        <w:keepLines/>
        <w:keepNext/>
        <w:spacing w:beforeAutospacing="0" w:afterAutospacing="0" w:line="520" w:lineRule="exact"/>
        <w:rPr>
          <w:rFonts w:ascii="宋体" w:hAnsi="宋体" w:eastAsia="宋体" w:cs="宋体"/>
        </w:rPr>
      </w:pPr>
      <w:r/>
      <w:bookmarkStart w:id="184" w:name="_Toc513029237"/>
      <w:r/>
      <w:bookmarkStart w:id="185" w:name="_Toc16938553"/>
      <w:r/>
      <w:bookmarkStart w:id="186" w:name="_Toc20823309"/>
      <w:r>
        <w:rPr>
          <w:rFonts w:hint="eastAsia" w:ascii="宋体" w:hAnsi="宋体" w:eastAsia="宋体" w:cs="宋体"/>
          <w:lang w:val="en-US" w:eastAsia="zh-CN"/>
        </w:rPr>
        <w:t xml:space="preserve">30</w:t>
      </w:r>
      <w:r>
        <w:rPr>
          <w:rFonts w:hint="eastAsia" w:ascii="宋体" w:hAnsi="宋体" w:eastAsia="宋体" w:cs="宋体"/>
        </w:rPr>
        <w:t xml:space="preserve">. 签订合同</w:t>
      </w:r>
      <w:bookmarkEnd w:id="184"/>
      <w:r/>
      <w:bookmarkEnd w:id="185"/>
      <w:r/>
      <w:bookmarkEnd w:id="186"/>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lang w:val="en-US" w:eastAsia="zh-CN"/>
        </w:rPr>
        <w:t xml:space="preserve">30</w:t>
      </w:r>
      <w:r>
        <w:rPr>
          <w:rFonts w:hint="eastAsia" w:ascii="宋体" w:hAnsi="宋体" w:eastAsia="宋体" w:cs="宋体"/>
        </w:rPr>
        <w:t xml:space="preserve">.l中标人应当在中标通知书发出之日起三十日内，按照招标文件确定的事项与采购人签订政府采购合同。</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lang w:val="en-US" w:eastAsia="zh-CN"/>
        </w:rPr>
        <w:t xml:space="preserve">30</w:t>
      </w:r>
      <w:r>
        <w:rPr>
          <w:rFonts w:hint="eastAsia" w:ascii="宋体" w:hAnsi="宋体" w:eastAsia="宋体" w:cs="宋体"/>
        </w:rPr>
        <w:t xml:space="preserve">.2招标文件、中标人的投标文件及招标过程中有关澄清、承诺文件均应作为合同附件。</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0</w:t>
      </w:r>
      <w:r>
        <w:rPr>
          <w:rFonts w:hint="eastAsia" w:ascii="宋体" w:hAnsi="宋体" w:eastAsia="宋体" w:cs="宋体"/>
        </w:rPr>
        <w:t xml:space="preserve">.3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43"/>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0</w:t>
      </w:r>
      <w:r>
        <w:rPr>
          <w:rFonts w:hint="eastAsia" w:ascii="宋体" w:hAnsi="宋体" w:eastAsia="宋体" w:cs="宋体"/>
        </w:rPr>
        <w:t xml:space="preserve">、</w:t>
      </w:r>
      <w:r>
        <w:rPr>
          <w:rFonts w:hint="eastAsia" w:ascii="宋体" w:hAnsi="宋体" w:eastAsia="宋体" w:cs="宋体"/>
          <w:color w:val="000000"/>
          <w:sz w:val="24"/>
          <w:szCs w:val="24"/>
          <w:highlight w:val="none"/>
        </w:rPr>
        <w:t xml:space="preserve">服务（包含与服务相关的货物）的追加</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0</w:t>
      </w:r>
      <w:r>
        <w:rPr>
          <w:rFonts w:hint="eastAsia" w:ascii="宋体" w:hAnsi="宋体" w:eastAsia="宋体" w:cs="宋体"/>
        </w:rPr>
        <w:t xml:space="preserve">.1</w:t>
      </w:r>
      <w:r>
        <w:rPr>
          <w:rFonts w:hint="eastAsia" w:ascii="宋体" w:hAnsi="宋体" w:eastAsia="宋体" w:cs="宋体"/>
          <w:color w:val="000000"/>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rPr>
        <w:t xml:space="preserve">。</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.政府采购政策功能落实</w:t>
      </w:r>
      <w:r/>
    </w:p>
    <w:p>
      <w:pPr>
        <w:pStyle w:val="643"/>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.1政府采购线上合同信用融资政策</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.2进口产品</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.3.1中小企业定义：</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.3.2供应商提供的货物、工程或者服务符合下列情形的，享受中小企业扶持政策：</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.3.2.1在货物采购项目中，货物由中小企业制造，即货物由中小企业生产且使用该中小企业商号或者注册商标；</w:t>
      </w:r>
      <w:r/>
    </w:p>
    <w:p>
      <w:pPr>
        <w:pStyle w:val="643"/>
        <w:ind w:firstLine="480"/>
        <w:jc w:val="both"/>
        <w:spacing w:beforeAutospacing="0" w:afterAutospacing="0" w:line="520" w:lineRule="exact"/>
        <w:rPr>
          <w:rFonts w:hint="eastAsia" w:ascii="宋体" w:hAnsi="宋体" w:eastAsia="宋体" w:cs="宋体"/>
          <w:lang w:val="en-US" w:eastAsia="zh-CN"/>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.3.2.2在工程采购项目中，工程由中小企业承建，即工程施工单位为中小企业；</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.3.2.3在服务采购项目中，服务由中小企业承接，即提供服务的人员为中小企业依照《中华人民共和国劳动合同法》订立劳动合同的从业人员。</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.3.3在货物采购项目中，供应商提供的货物既有中小企业制造货物，也有大型企业制造货物的，不享受中小企业扶持政策。</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.3.4以联合体形式参加政府采购活动，联合体各方均为中小企业的，联合体视同中小企业。其中，联合体各方均为小微企业的，联合体视同小微企业。</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.3.6残疾人福利单位定义：享受政府采购支持政策的残疾人福利性单位应当同时满足以下条件：</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.3.6.1安置的残疾人占本单位在职职工人数的比例不低于25%（含25%），并且安置的残疾人人数不少于10 人（含10 人）；</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.3.6.2依法与安置的每位残疾人签订了一年以上（含一年）的劳动合同或服务协议；</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.3.6.3为安置的每位残疾人按月足额缴纳了基本养老保险、基本医疗保险、失业保险、工伤保险和生育保险等社会保险费；</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.3.6.4通过银行等金融机构向安置的每位残疾人，按月支付了不低于单位所在区县适用的经省级人民政府批准的月最低工资标准的工资；</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.3.6.5提供本单位制造的货物、承担的工程或者服务（以下简称产品），或者提供其他残疾人福利性单位制造的货物（不包括使用非残疾人福利性单位注册商标的货物）；</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.3.7本项目是否专门面向中小企业预留采购份额见第一章《招标公告》。</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.3.8采购标的对应的中小企业划分标准所属行业见第四章《采购需求》。</w:t>
      </w:r>
      <w:r/>
    </w:p>
    <w:p>
      <w:pPr>
        <w:pStyle w:val="643"/>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2</w:t>
      </w:r>
      <w:r>
        <w:rPr>
          <w:rFonts w:hint="eastAsia" w:ascii="宋体" w:hAnsi="宋体" w:eastAsia="宋体" w:cs="宋体"/>
        </w:rPr>
        <w:t xml:space="preserve">.3.9小微企业价格评审优惠的政策：见第五章《评标方法和评标标准》。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.8履约保证金政策</w:t>
      </w:r>
      <w:r/>
    </w:p>
    <w:p>
      <w:pPr>
        <w:pStyle w:val="655"/>
        <w:ind w:left="0" w:firstLine="480"/>
        <w:spacing w:after="0" w:line="520" w:lineRule="exact"/>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中标供应商在领取中标通知书后15日内，须向采购人交纳履约保证金（中标金额*10%，以支票、汇票、本票或者银行保函形式提交）。履约保证金必须交至采购人指定账户。如中标人提供履约保证金采用履约保函形式，所提供的履约保函必须是无条件即索即兑的银行保函，保函有效期为签订合同后</w:t>
      </w:r>
      <w:r>
        <w:rPr>
          <w:rFonts w:hint="eastAsia" w:ascii="宋体" w:hAnsi="宋体" w:eastAsia="宋体" w:cs="宋体"/>
          <w:sz w:val="24"/>
          <w:lang w:val="en-US" w:eastAsia="zh-CN"/>
        </w:rPr>
        <w:t xml:space="preserve">12</w:t>
      </w:r>
      <w:r>
        <w:rPr>
          <w:rFonts w:hint="eastAsia" w:ascii="宋体" w:hAnsi="宋体" w:eastAsia="宋体" w:cs="宋体"/>
          <w:sz w:val="24"/>
        </w:rPr>
        <w:t xml:space="preserve">个月，</w:t>
      </w:r>
      <w:r>
        <w:rPr>
          <w:rFonts w:hint="eastAsia" w:ascii="宋体" w:hAnsi="宋体" w:eastAsia="宋体" w:cs="宋体"/>
          <w:sz w:val="24"/>
          <w:lang w:val="en-US" w:eastAsia="zh-CN"/>
        </w:rPr>
        <w:t xml:space="preserve">保函开具行必须为采购人认可的国有商业银行</w:t>
      </w:r>
      <w:r>
        <w:rPr>
          <w:rFonts w:hint="eastAsia" w:ascii="宋体" w:hAnsi="宋体" w:eastAsia="宋体" w:cs="宋体"/>
          <w:sz w:val="24"/>
        </w:rPr>
        <w:t xml:space="preserve">，且须完全符合采购人要求。如中标人在收到中标通知书后15日内未按上述要求交付履约保证金，采购人有权单方取消中标人中标资格。</w:t>
      </w:r>
      <w:r/>
    </w:p>
    <w:p>
      <w:pPr>
        <w:ind w:firstLine="480"/>
        <w:spacing w:line="520" w:lineRule="exact"/>
        <w:rPr>
          <w:rFonts w:ascii="宋体" w:hAnsi="宋体" w:eastAsia="宋体" w:cs="宋体"/>
          <w:sz w:val="24"/>
        </w:rPr>
      </w:pPr>
      <w:r>
        <w:rPr>
          <w:rFonts w:hint="eastAsia" w:ascii="宋体" w:hAnsi="宋体" w:eastAsia="宋体" w:cs="宋体"/>
          <w:sz w:val="24"/>
        </w:rPr>
        <w:t xml:space="preserve">中标供应商若在签订采购合同前向采购人提交本单位有效期内的第三方信用报告，且信用评级在AA级及以上的，中标供应商可享受政府采购供应商履约保证金减免政策（减免50%）（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3</w:t>
      </w:r>
      <w:r>
        <w:rPr>
          <w:rFonts w:hint="eastAsia" w:ascii="宋体" w:hAnsi="宋体" w:eastAsia="宋体" w:cs="宋体"/>
          <w:sz w:val="24"/>
        </w:rPr>
        <w:t xml:space="preserve">. 预付款制度</w:t>
      </w:r>
      <w:r/>
    </w:p>
    <w:p>
      <w:pPr>
        <w:ind w:firstLine="480"/>
        <w:spacing w:line="520" w:lineRule="exact"/>
        <w:rPr>
          <w:rFonts w:hint="eastAsia" w:ascii="宋体" w:hAnsi="宋体" w:eastAsia="宋体" w:cs="宋体"/>
          <w:sz w:val="24"/>
        </w:rPr>
      </w:pPr>
      <w:r/>
      <w:bookmarkStart w:id="187" w:name="_Toc479757211"/>
      <w:r/>
      <w:bookmarkStart w:id="188" w:name="_Toc462564139"/>
      <w:r/>
      <w:bookmarkStart w:id="189" w:name="_Toc20823346"/>
      <w:r/>
      <w:bookmarkStart w:id="190" w:name="_Toc16938590"/>
      <w:r/>
      <w:bookmarkStart w:id="191" w:name="_Toc120614244"/>
      <w:r/>
      <w:bookmarkStart w:id="192" w:name="_Hlt16619350"/>
      <w:r/>
      <w:bookmarkStart w:id="193" w:name="_Hlt16619369"/>
      <w:r>
        <w:rPr>
          <w:rFonts w:hint="eastAsia" w:ascii="宋体" w:hAnsi="宋体" w:eastAsia="宋体" w:cs="宋体"/>
          <w:sz w:val="24"/>
        </w:rPr>
        <w:t xml:space="preserve">本项目落实预付款制度，预付款比例为30%。中标供应商在采购人支付预付款前，必须提供同等金额的无条件即索即兑预付款银行保函，保函有效期为签订合同后</w:t>
      </w:r>
      <w:r>
        <w:rPr>
          <w:rFonts w:hint="eastAsia" w:ascii="宋体" w:hAnsi="宋体" w:eastAsia="宋体" w:cs="宋体"/>
          <w:sz w:val="24"/>
          <w:lang w:val="en-US" w:eastAsia="zh-CN"/>
        </w:rPr>
        <w:t xml:space="preserve">12</w:t>
      </w:r>
      <w:r>
        <w:rPr>
          <w:rFonts w:hint="eastAsia" w:ascii="宋体" w:hAnsi="宋体" w:eastAsia="宋体" w:cs="宋体"/>
          <w:sz w:val="24"/>
        </w:rPr>
        <w:t xml:space="preserve">个月，以确保采购人的资金安全。在签订合同时，中标、成交供应商明确书面表示无需预付款或者主动要求降低预付款比例的，采购人可就预付款比例作相应调整。</w:t>
      </w:r>
      <w:r/>
    </w:p>
    <w:p>
      <w:pPr>
        <w:ind w:firstLine="480"/>
        <w:spacing w:line="520" w:lineRule="exact"/>
        <w:rPr>
          <w:rFonts w:ascii="黑体" w:hAnsi="宋体" w:eastAsia="黑体" w:cs="黑体"/>
          <w:b/>
          <w:color w:val="000000"/>
          <w:sz w:val="44"/>
          <w:szCs w:val="44"/>
        </w:rPr>
      </w:pPr>
      <w:r>
        <w:rPr>
          <w:rFonts w:hint="eastAsia" w:ascii="宋体" w:hAnsi="宋体" w:eastAsia="宋体" w:cs="宋体"/>
          <w:sz w:val="24"/>
        </w:rPr>
        <w:t xml:space="preserve">注：乙方在甲方支付预付款前，必须提供同等金额的预付款银行保函，以确保甲方的资金安全。该保函必须是无条件即付即兑的银行保函，保函有效期为签订合同后</w:t>
      </w:r>
      <w:r>
        <w:rPr>
          <w:rFonts w:hint="eastAsia" w:ascii="宋体" w:hAnsi="宋体" w:eastAsia="宋体" w:cs="宋体"/>
          <w:sz w:val="24"/>
          <w:lang w:val="en-US" w:eastAsia="zh-CN"/>
        </w:rPr>
        <w:t xml:space="preserve">12</w:t>
      </w:r>
      <w:r>
        <w:rPr>
          <w:rFonts w:hint="eastAsia" w:ascii="宋体" w:hAnsi="宋体" w:eastAsia="宋体" w:cs="宋体"/>
          <w:sz w:val="24"/>
        </w:rPr>
        <w:t xml:space="preserve">个月，</w:t>
      </w:r>
      <w:r>
        <w:rPr>
          <w:rFonts w:hint="eastAsia" w:ascii="宋体" w:hAnsi="宋体" w:eastAsia="宋体" w:cs="宋体"/>
          <w:sz w:val="24"/>
          <w:lang w:val="en-US" w:eastAsia="zh-CN"/>
        </w:rPr>
        <w:t xml:space="preserve">保函开具行必须为采购人认可的国有商业银行</w:t>
      </w:r>
      <w:r>
        <w:rPr>
          <w:rFonts w:hint="eastAsia" w:ascii="宋体" w:hAnsi="宋体" w:eastAsia="宋体" w:cs="宋体"/>
          <w:sz w:val="24"/>
        </w:rPr>
        <w:t xml:space="preserve">，且须完全符合甲方要求。如乙方未按上述要求在签订合同前15日内提供银行保函，则视为乙方无条件放弃预付款，付款方式仍按照合同第</w:t>
      </w:r>
      <w:r>
        <w:rPr>
          <w:rFonts w:hint="eastAsia" w:ascii="宋体" w:hAnsi="宋体" w:eastAsia="宋体" w:cs="宋体"/>
          <w:sz w:val="24"/>
          <w:lang w:val="en-US" w:eastAsia="zh-CN"/>
        </w:rPr>
        <w:t xml:space="preserve">八</w:t>
      </w:r>
      <w:r>
        <w:rPr>
          <w:rFonts w:hint="eastAsia" w:ascii="宋体" w:hAnsi="宋体" w:eastAsia="宋体" w:cs="宋体"/>
          <w:sz w:val="24"/>
        </w:rPr>
        <w:t xml:space="preserve">条款第</w:t>
      </w:r>
      <w:r>
        <w:rPr>
          <w:rFonts w:hint="eastAsia" w:ascii="宋体" w:hAnsi="宋体" w:eastAsia="宋体" w:cs="宋体"/>
          <w:sz w:val="24"/>
          <w:lang w:val="en-US" w:eastAsia="zh-CN"/>
        </w:rPr>
        <w:t xml:space="preserve">8.2</w:t>
      </w:r>
      <w:r>
        <w:rPr>
          <w:rFonts w:hint="eastAsia" w:ascii="宋体" w:hAnsi="宋体" w:eastAsia="宋体" w:cs="宋体"/>
          <w:sz w:val="24"/>
        </w:rPr>
        <w:t xml:space="preserve">点中的付款方式执行。</w:t>
      </w:r>
      <w:r>
        <w:rPr>
          <w:rFonts w:hint="eastAsia" w:ascii="黑体" w:hAnsi="宋体" w:eastAsia="黑体" w:cs="黑体"/>
          <w:b/>
          <w:color w:val="000000"/>
          <w:sz w:val="44"/>
          <w:szCs w:val="44"/>
        </w:rPr>
        <w:br w:type="page" w:clear="all"/>
      </w:r>
      <w:r/>
    </w:p>
    <w:p>
      <w:pPr>
        <w:pStyle w:val="643"/>
        <w:ind w:firstLine="883"/>
        <w:jc w:val="center"/>
        <w:keepLines/>
        <w:keepNext/>
        <w:spacing w:before="156" w:beforeAutospacing="0" w:after="156" w:afterAutospacing="0" w:line="415" w:lineRule="auto"/>
      </w:pPr>
      <w:r>
        <w:rPr>
          <w:rFonts w:hint="eastAsia" w:ascii="黑体" w:hAnsi="宋体" w:eastAsia="黑体" w:cs="黑体"/>
          <w:b/>
          <w:color w:val="000000"/>
          <w:sz w:val="44"/>
          <w:szCs w:val="44"/>
        </w:rPr>
        <w:t xml:space="preserve">第三章  合同文本</w:t>
      </w:r>
      <w:r/>
    </w:p>
    <w:p>
      <w:pPr>
        <w:pStyle w:val="643"/>
        <w:ind w:firstLine="482"/>
        <w:jc w:val="both"/>
        <w:spacing w:beforeAutospacing="0" w:afterAutospacing="0" w:line="500" w:lineRule="exact"/>
      </w:pPr>
      <w:r/>
      <w:bookmarkStart w:id="194" w:name="_Toc20823315"/>
      <w:r/>
      <w:bookmarkStart w:id="195" w:name="_Toc16938559"/>
      <w:r/>
      <w:bookmarkStart w:id="196" w:name="_Toc513029243"/>
      <w:r>
        <w:rPr>
          <w:rFonts w:hint="eastAsia" w:ascii="宋体" w:hAnsi="宋体" w:eastAsia="宋体" w:cs="宋体"/>
          <w:color w:val="000000"/>
        </w:rPr>
        <w:t xml:space="preserve">以下为中标后签定本项目合同的通用条款，中标人不得提出实质性的修改。</w:t>
      </w:r>
      <w:bookmarkEnd w:id="194"/>
      <w:r/>
      <w:bookmarkEnd w:id="195"/>
      <w:r/>
      <w:bookmarkEnd w:id="196"/>
      <w:r/>
      <w:r/>
    </w:p>
    <w:p>
      <w:pPr>
        <w:ind w:firstLine="602"/>
        <w:jc w:val="center"/>
        <w:spacing w:before="156" w:after="156" w:line="360" w:lineRule="auto"/>
        <w:rPr>
          <w:rFonts w:ascii="宋体" w:hAnsi="宋体" w:cs="宋体"/>
          <w:bCs/>
          <w:sz w:val="30"/>
          <w:szCs w:val="30"/>
        </w:rPr>
        <w:outlineLvl w:val="0"/>
      </w:pPr>
      <w:r/>
      <w:bookmarkStart w:id="197" w:name="OLE_LINK23"/>
      <w:r>
        <w:rPr>
          <w:rFonts w:hint="eastAsia" w:ascii="宋体" w:hAnsi="宋体" w:cs="宋体"/>
          <w:b/>
          <w:bCs/>
          <w:sz w:val="30"/>
          <w:szCs w:val="30"/>
        </w:rPr>
        <w:t xml:space="preserve">政府采购合同（服务）</w:t>
      </w:r>
      <w:r/>
    </w:p>
    <w:p>
      <w:pPr>
        <w:pStyle w:val="640"/>
        <w:ind w:firstLine="480"/>
        <w:spacing w:line="500" w:lineRule="exact"/>
        <w:rPr>
          <w:rFonts w:hAnsi="宋体" w:eastAsia="宋体" w:cs="宋体"/>
          <w:sz w:val="24"/>
          <w:szCs w:val="24"/>
        </w:rPr>
      </w:pPr>
      <w:r>
        <w:rPr>
          <w:rFonts w:hint="eastAsia" w:hAnsi="宋体" w:eastAsia="宋体" w:cs="宋体"/>
          <w:sz w:val="24"/>
          <w:szCs w:val="24"/>
        </w:rPr>
        <w:t xml:space="preserve">项目名称：</w:t>
      </w:r>
      <w:r>
        <w:rPr>
          <w:rFonts w:hint="eastAsia" w:hAnsi="宋体" w:eastAsia="宋体" w:cs="宋体"/>
          <w:sz w:val="24"/>
          <w:szCs w:val="24"/>
          <w:lang w:eastAsia="zh-CN"/>
        </w:rPr>
        <w:t xml:space="preserve">滨海县人民医院项目成本、病种成本系统建设项目</w:t>
      </w:r>
      <w:r>
        <w:rPr>
          <w:rFonts w:hint="eastAsia" w:hAnsi="宋体" w:eastAsia="宋体" w:cs="宋体"/>
          <w:sz w:val="24"/>
          <w:szCs w:val="24"/>
        </w:rPr>
        <w:t xml:space="preserve"> </w:t>
      </w:r>
      <w:r/>
    </w:p>
    <w:p>
      <w:pPr>
        <w:pStyle w:val="640"/>
        <w:ind w:firstLine="480"/>
        <w:spacing w:line="500" w:lineRule="exact"/>
        <w:rPr>
          <w:rFonts w:cs="宋体" w:asciiTheme="minorEastAsia" w:hAnsiTheme="minorEastAsia"/>
          <w:sz w:val="24"/>
          <w:szCs w:val="24"/>
        </w:rPr>
      </w:pPr>
      <w:r>
        <w:rPr>
          <w:rFonts w:hint="eastAsia" w:hAnsi="宋体" w:eastAsia="宋体" w:cs="宋体"/>
          <w:sz w:val="24"/>
          <w:szCs w:val="24"/>
        </w:rPr>
        <w:t xml:space="preserve">项目编号：JSZC-320922-JZCG-G2026-0001</w:t>
      </w:r>
      <w:r/>
    </w:p>
    <w:p>
      <w:pPr>
        <w:pStyle w:val="640"/>
        <w:ind w:firstLine="480"/>
        <w:spacing w:line="500" w:lineRule="exact"/>
        <w:rPr>
          <w:rFonts w:hAnsi="宋体" w:eastAsia="宋体" w:cs="宋体"/>
          <w:sz w:val="24"/>
          <w:szCs w:val="24"/>
        </w:rPr>
      </w:pPr>
      <w:r>
        <w:rPr>
          <w:rFonts w:hint="eastAsia" w:hAnsi="宋体" w:eastAsia="宋体" w:cs="宋体"/>
          <w:sz w:val="24"/>
          <w:szCs w:val="24"/>
        </w:rPr>
        <w:t xml:space="preserve">甲方：（买方）</w:t>
      </w:r>
      <w:r>
        <w:rPr>
          <w:rFonts w:hint="eastAsia" w:hAnsi="宋体" w:eastAsia="宋体" w:cs="宋体"/>
          <w:sz w:val="24"/>
          <w:szCs w:val="24"/>
          <w:u w:val="single"/>
        </w:rPr>
        <w:t xml:space="preserve">滨海县人民医院 </w:t>
      </w:r>
      <w:r>
        <w:rPr>
          <w:rFonts w:hint="eastAsia" w:hAnsi="宋体" w:eastAsia="宋体" w:cs="宋体"/>
          <w:sz w:val="24"/>
          <w:szCs w:val="24"/>
        </w:rPr>
        <w:t xml:space="preserve"> </w:t>
      </w:r>
      <w:r/>
    </w:p>
    <w:p>
      <w:pPr>
        <w:pStyle w:val="640"/>
        <w:ind w:firstLine="480"/>
        <w:spacing w:line="500" w:lineRule="exact"/>
        <w:rPr>
          <w:rFonts w:hAnsi="宋体" w:eastAsia="宋体" w:cs="宋体"/>
          <w:sz w:val="24"/>
          <w:szCs w:val="24"/>
        </w:rPr>
      </w:pPr>
      <w:r>
        <w:rPr>
          <w:rFonts w:hint="eastAsia" w:hAnsi="宋体" w:eastAsia="宋体" w:cs="宋体"/>
          <w:sz w:val="24"/>
          <w:szCs w:val="24"/>
        </w:rPr>
        <w:t xml:space="preserve">乙方：（卖方）</w:t>
      </w:r>
      <w:r>
        <w:rPr>
          <w:rFonts w:hint="eastAsia" w:hAnsi="宋体" w:eastAsia="宋体" w:cs="宋体"/>
          <w:sz w:val="24"/>
          <w:szCs w:val="24"/>
          <w:u w:val="single"/>
        </w:rPr>
        <w:t xml:space="preserve">               </w:t>
      </w:r>
      <w:r>
        <w:rPr>
          <w:rFonts w:hint="eastAsia" w:hAnsi="宋体" w:eastAsia="宋体" w:cs="宋体"/>
          <w:sz w:val="24"/>
          <w:szCs w:val="24"/>
        </w:rPr>
        <w:t xml:space="preserve">   </w:t>
      </w:r>
      <w:r/>
    </w:p>
    <w:p>
      <w:pPr>
        <w:pStyle w:val="640"/>
        <w:ind w:firstLine="480"/>
        <w:spacing w:line="500" w:lineRule="exact"/>
        <w:rPr>
          <w:rFonts w:hAnsi="宋体" w:eastAsia="宋体" w:cs="宋体"/>
          <w:b/>
          <w:sz w:val="24"/>
          <w:szCs w:val="24"/>
        </w:rPr>
      </w:pPr>
      <w:r>
        <w:rPr>
          <w:rFonts w:hint="eastAsia" w:hAnsi="宋体" w:eastAsia="宋体" w:cs="宋体"/>
          <w:sz w:val="24"/>
          <w:szCs w:val="24"/>
        </w:rPr>
        <w:t xml:space="preserve">甲、乙双方根据</w:t>
      </w:r>
      <w:r>
        <w:rPr>
          <w:rFonts w:hint="eastAsia" w:hAnsi="宋体" w:eastAsia="宋体" w:cs="宋体"/>
          <w:sz w:val="24"/>
          <w:szCs w:val="24"/>
          <w:u w:val="single"/>
          <w:lang w:eastAsia="zh-CN"/>
        </w:rPr>
        <w:t xml:space="preserve">滨海县人民医院项目成本、病种成本系统建设项目</w:t>
      </w:r>
      <w:r>
        <w:rPr>
          <w:rFonts w:hint="eastAsia" w:hAnsi="宋体" w:eastAsia="宋体" w:cs="宋体"/>
          <w:sz w:val="24"/>
          <w:szCs w:val="24"/>
        </w:rPr>
        <w:t xml:space="preserve">公开招标的结果，签署本合同。</w:t>
      </w:r>
      <w:r/>
    </w:p>
    <w:p>
      <w:pPr>
        <w:ind w:firstLine="482"/>
        <w:spacing w:line="500" w:lineRule="exact"/>
        <w:rPr>
          <w:rFonts w:ascii="宋体" w:hAnsi="宋体" w:eastAsia="宋体" w:cs="宋体"/>
          <w:b/>
          <w:sz w:val="24"/>
        </w:rPr>
      </w:pPr>
      <w:r>
        <w:rPr>
          <w:rFonts w:hint="eastAsia" w:ascii="宋体" w:hAnsi="宋体" w:eastAsia="宋体" w:cs="宋体"/>
          <w:b/>
          <w:sz w:val="24"/>
        </w:rPr>
        <w:t xml:space="preserve">第一条  定义</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除非另有特别解释或说明，本合同有关词语应按如下定义解释：</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1.1合同系指甲乙双方签署的，与本项目相关的协议、附件、附录和其他一切文件。</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1.2甲方系指购买本合同项下服务的国家机关、事业单位、团体组织。</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1.3乙方系指提供本合同项下服务的法人、其他组织或自然人。</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1.4服务系指根据合同规定乙方承担的与</w:t>
      </w:r>
      <w:r>
        <w:rPr>
          <w:rFonts w:hint="eastAsia" w:ascii="宋体" w:hAnsi="宋体" w:eastAsia="宋体" w:cs="宋体"/>
          <w:color w:val="000000"/>
          <w:sz w:val="24"/>
          <w:lang w:eastAsia="zh-CN"/>
        </w:rPr>
        <w:t xml:space="preserve">滨海县人民医院项目成本、病种成本系统建设项目</w:t>
      </w:r>
      <w:r>
        <w:rPr>
          <w:rFonts w:hint="eastAsia" w:ascii="宋体" w:hAnsi="宋体" w:eastAsia="宋体" w:cs="宋体"/>
          <w:color w:val="000000"/>
          <w:sz w:val="24"/>
        </w:rPr>
        <w:t xml:space="preserve">等相关的工作。</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1.5合同总价系指根据合同规定乙方在正确地完全履行合同义务后甲方应支付给乙方的价格，包含了甲方购买合同项下相关服务的一切费用。</w:t>
      </w:r>
      <w:r/>
    </w:p>
    <w:p>
      <w:pPr>
        <w:ind w:firstLine="482"/>
        <w:spacing w:line="500" w:lineRule="exact"/>
        <w:rPr>
          <w:rFonts w:ascii="宋体" w:hAnsi="宋体" w:eastAsia="宋体" w:cs="宋体"/>
          <w:b/>
          <w:sz w:val="24"/>
        </w:rPr>
      </w:pPr>
      <w:r>
        <w:rPr>
          <w:rFonts w:hint="eastAsia" w:ascii="宋体" w:hAnsi="宋体" w:eastAsia="宋体" w:cs="宋体"/>
          <w:b/>
          <w:sz w:val="24"/>
        </w:rPr>
        <w:t xml:space="preserve">第二条  组成合同的文件</w:t>
      </w:r>
      <w:r/>
    </w:p>
    <w:p>
      <w:pPr>
        <w:ind w:firstLine="480"/>
        <w:spacing w:line="500" w:lineRule="exact"/>
        <w:rPr>
          <w:rFonts w:ascii="宋体" w:hAnsi="宋体" w:eastAsia="宋体" w:cs="宋体"/>
          <w:sz w:val="24"/>
        </w:rPr>
      </w:pPr>
      <w:r>
        <w:rPr>
          <w:rFonts w:hint="eastAsia" w:ascii="宋体" w:hAnsi="宋体" w:eastAsia="宋体" w:cs="宋体"/>
          <w:sz w:val="24"/>
        </w:rPr>
        <w:t xml:space="preserve">下列文件是组成本合同的不可分割的部分：（1）本项目采购文件；（2）乙方提交的响应文件；（3）乙方所作的相关书面澄清；（4）中标通知书；（5）甲乙双方商定的其他必要文件。</w:t>
      </w:r>
      <w:r/>
    </w:p>
    <w:p>
      <w:pPr>
        <w:ind w:firstLine="482"/>
        <w:spacing w:line="500" w:lineRule="exact"/>
        <w:rPr>
          <w:rFonts w:ascii="宋体" w:hAnsi="宋体" w:eastAsia="宋体" w:cs="宋体"/>
          <w:b/>
          <w:sz w:val="24"/>
        </w:rPr>
      </w:pPr>
      <w:r>
        <w:rPr>
          <w:rFonts w:hint="eastAsia" w:ascii="宋体" w:hAnsi="宋体" w:eastAsia="宋体" w:cs="宋体"/>
          <w:b/>
          <w:sz w:val="24"/>
        </w:rPr>
        <w:t xml:space="preserve">第三条  合同内容及范围</w:t>
      </w:r>
      <w:r/>
    </w:p>
    <w:p>
      <w:pPr>
        <w:ind w:firstLine="480"/>
        <w:spacing w:line="500" w:lineRule="exact"/>
        <w:rPr>
          <w:rFonts w:ascii="宋体" w:hAnsi="宋体" w:eastAsia="宋体" w:cs="宋体"/>
          <w:sz w:val="24"/>
        </w:rPr>
      </w:pPr>
      <w:r>
        <w:rPr>
          <w:rFonts w:hint="eastAsia" w:ascii="宋体" w:hAnsi="宋体" w:eastAsia="宋体" w:cs="宋体"/>
          <w:sz w:val="24"/>
        </w:rPr>
        <w:t xml:space="preserve">3.1</w:t>
      </w:r>
      <w:r>
        <w:rPr>
          <w:rFonts w:hint="eastAsia" w:asciiTheme="minorEastAsia" w:hAnsiTheme="minorEastAsia" w:eastAsiaTheme="minorEastAsia" w:cstheme="minorEastAsia"/>
          <w:sz w:val="24"/>
          <w:szCs w:val="24"/>
        </w:rPr>
        <w:t xml:space="preserve">完善医疗服务项目成本、病种成本、DRG病种成本及成本决策分析系统，满足</w:t>
      </w:r>
      <w:r>
        <w:rPr>
          <w:rFonts w:hint="eastAsia" w:eastAsia="宋体" w:asciiTheme="minorEastAsia" w:hAnsiTheme="minorEastAsia" w:cstheme="minorEastAsia"/>
          <w:sz w:val="24"/>
          <w:szCs w:val="24"/>
          <w:lang w:val="en-US" w:eastAsia="zh-CN"/>
        </w:rPr>
        <w:t xml:space="preserve">甲方</w:t>
      </w:r>
      <w:r>
        <w:rPr>
          <w:rFonts w:hint="eastAsia" w:asciiTheme="minorEastAsia" w:hAnsiTheme="minorEastAsia" w:eastAsiaTheme="minorEastAsia" w:cstheme="minorEastAsia"/>
          <w:sz w:val="24"/>
          <w:szCs w:val="24"/>
        </w:rPr>
        <w:t xml:space="preserve">三甲创建要求，并通过成本核算结果的运用，提升科室控成本、控费的积极性和主动性</w:t>
      </w:r>
      <w:r>
        <w:rPr>
          <w:rFonts w:hint="eastAsia" w:ascii="宋体" w:hAnsi="宋体" w:eastAsia="宋体" w:cs="宋体"/>
          <w:sz w:val="24"/>
        </w:rPr>
        <w:t xml:space="preserve">。</w:t>
      </w:r>
      <w:r/>
    </w:p>
    <w:p>
      <w:pPr>
        <w:ind w:firstLine="480"/>
        <w:spacing w:line="500" w:lineRule="exact"/>
        <w:rPr>
          <w:rFonts w:ascii="宋体" w:hAnsi="宋体" w:eastAsia="宋体" w:cs="宋体"/>
          <w:sz w:val="24"/>
        </w:rPr>
      </w:pPr>
      <w:r>
        <w:rPr>
          <w:rFonts w:hint="eastAsia" w:ascii="宋体" w:hAnsi="宋体" w:eastAsia="宋体" w:cs="宋体"/>
          <w:sz w:val="24"/>
        </w:rPr>
        <w:t xml:space="preserve">3.2服务标准：合格。</w:t>
      </w:r>
      <w:r/>
    </w:p>
    <w:p>
      <w:pPr>
        <w:ind w:firstLine="480"/>
        <w:spacing w:line="500" w:lineRule="exact"/>
        <w:rPr>
          <w:rFonts w:ascii="宋体" w:hAnsi="宋体" w:eastAsia="宋体" w:cs="宋体"/>
          <w:sz w:val="24"/>
        </w:rPr>
      </w:pPr>
      <w:r>
        <w:rPr>
          <w:rFonts w:hint="eastAsia" w:ascii="宋体" w:hAnsi="宋体" w:eastAsia="宋体" w:cs="宋体"/>
          <w:sz w:val="24"/>
        </w:rPr>
        <w:t xml:space="preserve">3.3服务地点：滨海县人民医院。</w:t>
      </w:r>
      <w:r/>
    </w:p>
    <w:p>
      <w:pPr>
        <w:ind w:firstLine="480"/>
        <w:spacing w:line="5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w:t>
      </w:r>
      <w:r>
        <w:rPr>
          <w:rFonts w:hint="eastAsia" w:ascii="宋体" w:hAnsi="宋体" w:eastAsia="宋体"/>
          <w:sz w:val="24"/>
          <w:lang w:val="en-US" w:eastAsia="zh-CN"/>
        </w:rPr>
        <w:t xml:space="preserve">项目建设周期</w:t>
      </w:r>
      <w:r>
        <w:rPr>
          <w:rFonts w:hint="eastAsia" w:ascii="宋体" w:hAnsi="宋体" w:eastAsia="宋体" w:cs="宋体"/>
          <w:sz w:val="24"/>
        </w:rPr>
        <w:t xml:space="preserve">:合同签订后6个月内。</w:t>
      </w:r>
      <w:r/>
    </w:p>
    <w:p>
      <w:pPr>
        <w:pStyle w:val="634"/>
        <w:ind w:firstLine="480"/>
        <w:rPr>
          <w:rFonts w:hint="default"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3.5维保服务期限：3年</w:t>
      </w:r>
      <w:r/>
    </w:p>
    <w:p>
      <w:pPr>
        <w:ind w:firstLine="480"/>
        <w:spacing w:line="500" w:lineRule="exact"/>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6</w:t>
      </w:r>
      <w:r>
        <w:rPr>
          <w:rFonts w:hint="eastAsia" w:ascii="宋体" w:hAnsi="宋体" w:eastAsia="宋体" w:cs="宋体"/>
          <w:sz w:val="24"/>
        </w:rPr>
        <w:t xml:space="preserve">乙方根据本项目具体情况指派</w:t>
      </w:r>
      <w:r>
        <w:rPr>
          <w:rFonts w:hint="eastAsia" w:ascii="宋体" w:hAnsi="宋体" w:eastAsia="宋体" w:cs="宋体"/>
          <w:sz w:val="24"/>
          <w:u w:val="single"/>
        </w:rPr>
        <w:t xml:space="preserve">       </w:t>
      </w:r>
      <w:r>
        <w:rPr>
          <w:rFonts w:hint="eastAsia" w:ascii="宋体" w:hAnsi="宋体" w:eastAsia="宋体" w:cs="宋体"/>
          <w:sz w:val="24"/>
        </w:rPr>
        <w:t xml:space="preserve">同志担任本项目的负责人，代表乙方具体负责本项目工作。</w:t>
      </w:r>
      <w:r/>
    </w:p>
    <w:p>
      <w:pPr>
        <w:ind w:firstLine="482"/>
        <w:spacing w:line="500" w:lineRule="exact"/>
        <w:rPr>
          <w:rFonts w:ascii="宋体" w:hAnsi="宋体" w:eastAsia="宋体" w:cs="宋体"/>
          <w:b/>
          <w:color w:val="000000"/>
          <w:sz w:val="24"/>
        </w:rPr>
      </w:pPr>
      <w:r>
        <w:rPr>
          <w:rFonts w:hint="eastAsia" w:ascii="宋体" w:hAnsi="宋体" w:eastAsia="宋体" w:cs="宋体"/>
          <w:b/>
          <w:color w:val="000000"/>
          <w:sz w:val="24"/>
        </w:rPr>
        <w:t xml:space="preserve">第四条  合同金额</w:t>
      </w:r>
      <w:r/>
    </w:p>
    <w:p>
      <w:pPr>
        <w:ind w:firstLine="480"/>
        <w:jc w:val="left"/>
        <w:spacing w:line="500" w:lineRule="exact"/>
        <w:rPr>
          <w:rFonts w:ascii="宋体" w:hAnsi="宋体" w:eastAsia="宋体" w:cs="宋体"/>
          <w:color w:val="000000"/>
          <w:sz w:val="24"/>
        </w:rPr>
      </w:pPr>
      <w:r>
        <w:rPr>
          <w:rFonts w:hint="eastAsia" w:ascii="宋体" w:hAnsi="宋体" w:eastAsia="宋体" w:cs="宋体"/>
          <w:sz w:val="24"/>
        </w:rPr>
        <w:t xml:space="preserve">本合同金额为（大写）：_______圆（_____元）人民币或其他币种</w:t>
      </w:r>
      <w:r>
        <w:rPr>
          <w:rFonts w:hint="eastAsia" w:ascii="宋体" w:hAnsi="宋体" w:eastAsia="宋体" w:cs="宋体"/>
          <w:color w:val="000000"/>
          <w:sz w:val="24"/>
        </w:rPr>
        <w:t xml:space="preserve">。</w:t>
      </w:r>
      <w:r/>
    </w:p>
    <w:p>
      <w:pPr>
        <w:ind w:firstLine="482"/>
        <w:spacing w:line="500" w:lineRule="exact"/>
        <w:rPr>
          <w:rFonts w:hint="eastAsia" w:ascii="宋体" w:hAnsi="宋体" w:eastAsia="宋体" w:cs="宋体"/>
          <w:b/>
          <w:sz w:val="24"/>
        </w:rPr>
      </w:pPr>
      <w:r>
        <w:rPr>
          <w:rFonts w:hint="eastAsia" w:ascii="宋体" w:hAnsi="宋体" w:eastAsia="宋体" w:cs="宋体"/>
          <w:b/>
          <w:color w:val="000000"/>
          <w:sz w:val="24"/>
        </w:rPr>
        <w:t xml:space="preserve">第</w:t>
      </w: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条  </w:t>
      </w:r>
      <w:r>
        <w:rPr>
          <w:rFonts w:hint="eastAsia" w:ascii="宋体" w:hAnsi="宋体" w:eastAsia="宋体" w:cs="宋体"/>
          <w:b/>
          <w:color w:val="000000"/>
          <w:sz w:val="24"/>
          <w:szCs w:val="24"/>
          <w:highlight w:val="none"/>
        </w:rPr>
        <w:t xml:space="preserve">技术资料</w:t>
      </w:r>
      <w:r/>
    </w:p>
    <w:p>
      <w:pPr>
        <w:pStyle w:val="643"/>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.1乙方应按招标文件规定的时间向甲方提供服务（包含与服务相关的货物）的有关技术资料。</w:t>
      </w:r>
      <w:r/>
    </w:p>
    <w:p>
      <w:pPr>
        <w:pStyle w:val="643"/>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3"/>
        <w:ind w:left="426" w:firstLine="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第六条  </w:t>
      </w:r>
      <w:r>
        <w:rPr>
          <w:rFonts w:hint="eastAsia" w:ascii="宋体" w:hAnsi="宋体" w:eastAsia="宋体" w:cs="宋体"/>
          <w:b/>
          <w:color w:val="000000"/>
          <w:sz w:val="24"/>
          <w:szCs w:val="24"/>
          <w:highlight w:val="none"/>
        </w:rPr>
        <w:t xml:space="preserve">知识产权</w:t>
      </w:r>
      <w:r/>
    </w:p>
    <w:p>
      <w:pPr>
        <w:pStyle w:val="643"/>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43"/>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第七条  </w:t>
      </w:r>
      <w:r>
        <w:rPr>
          <w:rFonts w:hint="eastAsia" w:ascii="宋体" w:hAnsi="宋体" w:eastAsia="宋体" w:cs="宋体"/>
          <w:b/>
          <w:color w:val="000000"/>
          <w:sz w:val="24"/>
          <w:szCs w:val="24"/>
          <w:highlight w:val="none"/>
        </w:rPr>
        <w:t xml:space="preserve">产权担保</w:t>
      </w:r>
      <w:r/>
    </w:p>
    <w:p>
      <w:pPr>
        <w:ind w:firstLine="480"/>
        <w:spacing w:line="500" w:lineRule="exact"/>
        <w:rPr>
          <w:rFonts w:hint="eastAsia" w:ascii="宋体" w:hAnsi="宋体" w:eastAsia="宋体" w:cs="宋体"/>
          <w:b/>
          <w:sz w:val="24"/>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.1乙方保证所交付的服务（包含与服务相关的货物）的</w:t>
      </w:r>
      <w:r>
        <w:rPr>
          <w:rFonts w:hint="eastAsia" w:ascii="宋体" w:hAnsi="宋体" w:eastAsia="宋体" w:cs="宋体"/>
          <w:color w:val="000000"/>
          <w:sz w:val="24"/>
          <w:szCs w:val="24"/>
          <w:highlight w:val="none"/>
          <w:lang w:val="en-US" w:eastAsia="zh-CN"/>
        </w:rPr>
        <w:t xml:space="preserve">使用权</w:t>
      </w:r>
      <w:r>
        <w:rPr>
          <w:rFonts w:hint="eastAsia" w:ascii="宋体" w:hAnsi="宋体" w:eastAsia="宋体" w:cs="宋体"/>
          <w:color w:val="000000"/>
          <w:sz w:val="24"/>
          <w:szCs w:val="24"/>
          <w:highlight w:val="none"/>
        </w:rPr>
        <w:t xml:space="preserve">完全属于</w:t>
      </w:r>
      <w:r>
        <w:rPr>
          <w:rFonts w:hint="eastAsia" w:ascii="宋体" w:hAnsi="宋体" w:eastAsia="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rPr>
        <w:t xml:space="preserve">方且无任何抵押、查封等产权瑕疵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所有权和著作权</w:t>
      </w:r>
      <w:r>
        <w:rPr>
          <w:rFonts w:hint="eastAsia" w:ascii="宋体" w:hAnsi="宋体" w:eastAsia="宋体" w:cs="宋体"/>
          <w:color w:val="000000"/>
          <w:sz w:val="24"/>
          <w:szCs w:val="24"/>
          <w:highlight w:val="none"/>
          <w:lang w:val="en-US" w:eastAsia="zh-CN"/>
        </w:rPr>
        <w:t xml:space="preserve">属于</w:t>
      </w:r>
      <w:r>
        <w:rPr>
          <w:rFonts w:hint="eastAsia" w:ascii="宋体" w:hAnsi="宋体" w:eastAsia="宋体" w:cs="宋体"/>
          <w:color w:val="000000"/>
          <w:sz w:val="24"/>
          <w:szCs w:val="24"/>
          <w:highlight w:val="none"/>
        </w:rPr>
        <w:t xml:space="preserve">乙方。</w:t>
      </w:r>
      <w:r/>
    </w:p>
    <w:p>
      <w:pPr>
        <w:ind w:firstLine="482"/>
        <w:spacing w:line="500" w:lineRule="exact"/>
        <w:rPr>
          <w:rFonts w:hint="default" w:ascii="宋体" w:hAnsi="宋体" w:eastAsia="宋体" w:cs="宋体"/>
          <w:sz w:val="24"/>
          <w:lang w:val="en-US" w:eastAsia="zh-CN"/>
        </w:rPr>
      </w:pPr>
      <w:r>
        <w:rPr>
          <w:rFonts w:hint="eastAsia" w:ascii="宋体" w:hAnsi="宋体" w:eastAsia="宋体" w:cs="宋体"/>
          <w:b/>
          <w:sz w:val="24"/>
        </w:rPr>
        <w:t xml:space="preserve">第</w:t>
      </w:r>
      <w:r>
        <w:rPr>
          <w:rFonts w:hint="eastAsia" w:ascii="宋体" w:hAnsi="宋体" w:eastAsia="宋体" w:cs="宋体"/>
          <w:b/>
          <w:sz w:val="24"/>
          <w:lang w:val="en-US" w:eastAsia="zh-CN"/>
        </w:rPr>
        <w:t xml:space="preserve">八</w:t>
      </w:r>
      <w:r>
        <w:rPr>
          <w:rFonts w:hint="eastAsia" w:ascii="宋体" w:hAnsi="宋体" w:eastAsia="宋体" w:cs="宋体"/>
          <w:b/>
          <w:sz w:val="24"/>
        </w:rPr>
        <w:t xml:space="preserve">条  </w:t>
      </w:r>
      <w:r>
        <w:rPr>
          <w:rFonts w:hint="eastAsia" w:ascii="宋体" w:hAnsi="宋体" w:eastAsia="宋体" w:cs="宋体"/>
          <w:b/>
          <w:sz w:val="24"/>
          <w:lang w:val="en-US" w:eastAsia="zh-CN"/>
        </w:rPr>
        <w:t xml:space="preserve">合同款项支付</w:t>
      </w:r>
      <w:r>
        <w:rPr>
          <w:rFonts w:hint="eastAsia" w:ascii="宋体" w:hAnsi="宋体" w:eastAsia="宋体" w:cs="宋体"/>
          <w:sz w:val="24"/>
          <w:lang w:val="en-US" w:eastAsia="zh-CN"/>
        </w:rPr>
        <w:t xml:space="preserve"> </w:t>
      </w:r>
      <w:r/>
    </w:p>
    <w:p>
      <w:pPr>
        <w:ind w:firstLine="48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8.1合同预付款比例为合同金额的30%，合同签订后，甲方在收到发票后10个工作日内将预付款支付到合同约定的乙方账户（乙方须提供合同总价30%的银行保函）。签订合同时，乙方书面明确表示无需预付款的，甲方可不支付预付款。</w:t>
      </w:r>
      <w:r/>
    </w:p>
    <w:p>
      <w:pPr>
        <w:ind w:firstLine="48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8.2软件正式上线运营6个月并经甲方验收合格后，</w:t>
      </w:r>
      <w:r>
        <w:rPr>
          <w:rFonts w:hint="eastAsia" w:ascii="Times New Roman" w:hAnsi="Times New Roman" w:eastAsia="宋体"/>
          <w:bCs/>
          <w:sz w:val="24"/>
          <w:highlight w:val="none"/>
          <w:lang w:val="en-US" w:eastAsia="zh-CN"/>
        </w:rPr>
        <w:t xml:space="preserve">甲方支付至合同金额的80%，维保期满后支付至100%</w:t>
      </w:r>
      <w:r>
        <w:rPr>
          <w:rFonts w:hint="eastAsia" w:ascii="宋体" w:hAnsi="宋体" w:eastAsia="宋体" w:cs="宋体"/>
          <w:sz w:val="24"/>
          <w:lang w:val="en-US" w:eastAsia="zh-CN"/>
        </w:rPr>
        <w:t xml:space="preserve">。（结算时，乙方需提供有效发票）</w:t>
      </w:r>
      <w:r/>
    </w:p>
    <w:p>
      <w:pPr>
        <w:ind w:firstLine="480"/>
        <w:spacing w:line="50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注：乙方在甲方支付预付款前，必须提供预付款同等金额的银行保函，以确保甲方的资金安全。该保函必须是无条件即索即兑的银行保函，保函有效期为签订合同后12个月，保函开具行必须为采购人认可的国有商业银行，且须完全符合甲方要求。如乙方在签订合同前15日内未按上述要求提供银行保函，则视为乙方无需预付款，付款方式调整为软件正式上线并经甲方验收合格后后，甲方支付至合同金额的80%，维保期满后支付至100%。</w:t>
      </w:r>
      <w:r>
        <w:rPr>
          <w:rFonts w:hint="eastAsia" w:ascii="宋体" w:hAnsi="宋体" w:eastAsia="宋体" w:cs="宋体"/>
          <w:sz w:val="24"/>
        </w:rPr>
        <w:t xml:space="preserve">（</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收到发票后10个工作日内</w:t>
      </w:r>
      <w:r>
        <w:rPr>
          <w:rFonts w:hint="eastAsia" w:ascii="宋体" w:hAnsi="宋体" w:eastAsia="宋体" w:cs="宋体"/>
          <w:color w:val="000000"/>
          <w:sz w:val="24"/>
          <w:szCs w:val="24"/>
          <w:highlight w:val="none"/>
          <w:lang w:val="en-US" w:eastAsia="zh-CN"/>
        </w:rPr>
        <w:t xml:space="preserve">支付相应款项，</w:t>
      </w:r>
      <w:r>
        <w:rPr>
          <w:rFonts w:hint="eastAsia" w:ascii="宋体" w:hAnsi="宋体" w:eastAsia="宋体" w:cs="宋体"/>
          <w:sz w:val="24"/>
        </w:rPr>
        <w:t xml:space="preserve">如有扣款，扣除后不再支付）</w:t>
      </w:r>
      <w:r>
        <w:rPr>
          <w:rFonts w:hint="eastAsia" w:ascii="宋体" w:hAnsi="宋体" w:eastAsia="宋体" w:cs="宋体"/>
          <w:sz w:val="24"/>
          <w:lang w:eastAsia="zh-CN"/>
        </w:rPr>
        <w:t xml:space="preserve">。</w:t>
      </w:r>
      <w:r/>
    </w:p>
    <w:p>
      <w:pPr>
        <w:pStyle w:val="638"/>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条  履约保证金</w:t>
      </w:r>
      <w:r/>
    </w:p>
    <w:p>
      <w:pPr>
        <w:ind w:firstLine="48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9.1 乙方交纳合同金额的10%人民币_________元作为本合同的履约保证金</w:t>
      </w:r>
      <w:r/>
    </w:p>
    <w:p>
      <w:pPr>
        <w:ind w:firstLine="480"/>
        <w:spacing w:line="500" w:lineRule="exact"/>
        <w:rPr>
          <w:rFonts w:hint="default" w:ascii="宋体" w:hAnsi="宋体" w:eastAsia="宋体" w:cs="宋体"/>
          <w:sz w:val="24"/>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（备注：不得超过合同金额的10%，采购人应当对AA评级及以上政府采购供应商（需提供信用管理部门备案的第三方信用报告）免收履约保证金或享受履约保证金</w:t>
      </w:r>
      <w:r>
        <w:rPr>
          <w:rFonts w:hint="eastAsia" w:asciiTheme="minorEastAsia" w:hAnsiTheme="minorEastAsia" w:eastAsiaTheme="minorEastAsia" w:cstheme="minorEastAsia"/>
          <w:sz w:val="24"/>
          <w:szCs w:val="24"/>
          <w:lang w:val="zh-CN" w:eastAsia="zh-CN"/>
        </w:rPr>
        <w:t xml:space="preserve">减免政策（</w:t>
      </w:r>
      <w:r>
        <w:rPr>
          <w:rFonts w:hint="eastAsia" w:asciiTheme="minorEastAsia" w:hAnsiTheme="minorEastAsia" w:eastAsiaTheme="minorEastAsia" w:cstheme="minorEastAsia"/>
          <w:sz w:val="24"/>
          <w:szCs w:val="24"/>
          <w:lang w:val="en-US" w:eastAsia="zh-CN"/>
        </w:rPr>
        <w:t xml:space="preserve">减免50%</w:t>
      </w:r>
      <w:r>
        <w:rPr>
          <w:rFonts w:hint="eastAsia" w:asciiTheme="minorEastAsia" w:hAnsiTheme="minorEastAsia" w:eastAsiaTheme="minorEastAsia" w:cstheme="minorEastAsia"/>
          <w:sz w:val="24"/>
          <w:szCs w:val="24"/>
          <w:lang w:val="zh-CN" w:eastAsia="zh-CN"/>
        </w:rPr>
        <w:t xml:space="preserve">）</w:t>
      </w:r>
      <w:r>
        <w:rPr>
          <w:rFonts w:hint="eastAsia" w:ascii="宋体" w:hAnsi="宋体" w:eastAsia="宋体" w:cs="宋体"/>
          <w:color w:val="000000"/>
          <w:sz w:val="24"/>
          <w:szCs w:val="24"/>
          <w:highlight w:val="none"/>
          <w:lang w:val="en-US" w:eastAsia="zh-CN"/>
        </w:rPr>
        <w:t xml:space="preserve">。</w:t>
      </w:r>
      <w:r/>
    </w:p>
    <w:p>
      <w:pPr>
        <w:ind w:firstLine="48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9.2</w:t>
      </w:r>
      <w:r>
        <w:rPr>
          <w:rFonts w:hint="eastAsia" w:ascii="宋体" w:hAnsi="宋体" w:eastAsia="宋体" w:cs="宋体"/>
          <w:color w:val="auto"/>
          <w:sz w:val="24"/>
          <w:szCs w:val="24"/>
          <w:highlight w:val="none"/>
          <w:lang w:eastAsia="zh-CN"/>
        </w:rPr>
        <w:t xml:space="preserve">履约保证金的缴纳形式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lang w:val="en-US" w:eastAsia="zh-CN"/>
        </w:rPr>
        <w:t xml:space="preserve">（以支票、汇票、本票或者银行保函形式提交），履约保证金必须交至采购人指定账户。如中标人提供履约保证金采用履约保函形式，所提供的履约保函必须是无条件即索即兑的银行保函，保函有效期为12个月，保函开具行必须为采购人认可的国有商业银行，且须完全符合采购人要求。如中标人在收到中标通知书后10日内未按上述要求交付履约保证金，采购人有权单方取消中标人中标资格。</w:t>
      </w:r>
      <w:r/>
    </w:p>
    <w:p>
      <w:pPr>
        <w:ind w:firstLine="48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9.3 </w:t>
      </w:r>
      <w:r>
        <w:rPr>
          <w:rFonts w:hint="eastAsia" w:ascii="宋体" w:hAnsi="宋体" w:eastAsia="宋体" w:cs="宋体"/>
          <w:color w:val="auto"/>
          <w:sz w:val="24"/>
          <w:szCs w:val="24"/>
          <w:highlight w:val="none"/>
        </w:rPr>
        <w:t xml:space="preserve">履</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结束后，甲方应及时退还</w:t>
      </w:r>
      <w:r>
        <w:rPr>
          <w:rFonts w:hint="eastAsia" w:ascii="宋体" w:hAnsi="宋体" w:eastAsia="宋体" w:cs="宋体"/>
          <w:color w:val="auto"/>
          <w:sz w:val="24"/>
          <w:szCs w:val="24"/>
          <w:highlight w:val="none"/>
          <w:lang w:val="en-US" w:eastAsia="zh-CN"/>
        </w:rPr>
        <w:t xml:space="preserve">缴</w:t>
      </w:r>
      <w:r>
        <w:rPr>
          <w:rFonts w:hint="eastAsia" w:ascii="宋体" w:hAnsi="宋体" w:eastAsia="宋体" w:cs="宋体"/>
          <w:color w:val="auto"/>
          <w:sz w:val="24"/>
          <w:szCs w:val="24"/>
          <w:highlight w:val="none"/>
        </w:rPr>
        <w:t xml:space="preserve">纳的履约保证金</w:t>
      </w:r>
      <w:r>
        <w:rPr>
          <w:rFonts w:hint="eastAsia" w:ascii="宋体" w:hAnsi="宋体" w:eastAsia="宋体" w:cs="宋体"/>
          <w:sz w:val="24"/>
          <w:lang w:eastAsia="zh-CN"/>
        </w:rPr>
        <w:t xml:space="preserve">。</w:t>
      </w:r>
      <w:r/>
    </w:p>
    <w:p>
      <w:pPr>
        <w:ind w:firstLine="480"/>
        <w:spacing w:line="500" w:lineRule="exact"/>
        <w:rPr>
          <w:rFonts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履约保证金的退还：</w:t>
      </w:r>
      <w:r/>
    </w:p>
    <w:p>
      <w:pPr>
        <w:ind w:firstLine="480"/>
        <w:spacing w:line="500" w:lineRule="exact"/>
        <w:rPr>
          <w:rFonts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.1方式：退还至乙方缴纳履约保证金的账户。如为保函，在到期时自行失效。</w:t>
      </w:r>
      <w:r/>
    </w:p>
    <w:p>
      <w:pPr>
        <w:ind w:firstLine="480"/>
        <w:spacing w:line="500" w:lineRule="exact"/>
        <w:rPr>
          <w:rFonts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.4.2时间：</w:t>
      </w:r>
      <w:r>
        <w:rPr>
          <w:rFonts w:hint="eastAsia" w:ascii="宋体" w:hAnsi="宋体" w:eastAsia="宋体" w:cs="宋体"/>
          <w:sz w:val="24"/>
          <w:lang w:val="en-US" w:eastAsia="zh-CN"/>
        </w:rPr>
        <w:t xml:space="preserve">系统上线并经甲方验收合格后12个月</w:t>
      </w:r>
      <w:r>
        <w:rPr>
          <w:rFonts w:hint="eastAsia" w:ascii="宋体" w:hAnsi="宋体" w:eastAsia="宋体" w:cs="宋体"/>
          <w:sz w:val="24"/>
        </w:rPr>
        <w:t xml:space="preserve">期满且甲方收到发票后30日内。</w:t>
      </w:r>
      <w:r/>
    </w:p>
    <w:p>
      <w:pPr>
        <w:ind w:firstLine="480"/>
        <w:spacing w:line="500" w:lineRule="exact"/>
        <w:rPr>
          <w:rFonts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.4.3条件：按合同要求全部履约完成并经甲方验收合格，且甲方收到乙方出具的发票。</w:t>
      </w:r>
      <w:r/>
    </w:p>
    <w:p>
      <w:pPr>
        <w:ind w:firstLine="480"/>
        <w:spacing w:line="500" w:lineRule="exact"/>
        <w:rPr>
          <w:rFonts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.4.4不予退还情形：</w:t>
      </w:r>
      <w:r/>
    </w:p>
    <w:p>
      <w:pPr>
        <w:ind w:firstLine="480"/>
        <w:spacing w:line="500" w:lineRule="exact"/>
        <w:rPr>
          <w:rFonts w:ascii="宋体" w:hAnsi="宋体" w:eastAsia="宋体" w:cs="宋体"/>
          <w:sz w:val="24"/>
        </w:rPr>
      </w:pPr>
      <w:r>
        <w:rPr>
          <w:rFonts w:hint="eastAsia" w:ascii="宋体" w:hAnsi="宋体" w:eastAsia="宋体" w:cs="宋体"/>
          <w:sz w:val="24"/>
        </w:rPr>
        <w:t xml:space="preserve">除不可抗力情况外，乙方出现下列情形之一的，其履约保证金，甲方将视情节决定不予退还。</w:t>
      </w:r>
      <w:r/>
    </w:p>
    <w:p>
      <w:pPr>
        <w:ind w:firstLine="480"/>
        <w:spacing w:line="500" w:lineRule="exact"/>
        <w:rPr>
          <w:rFonts w:ascii="宋体" w:hAnsi="宋体" w:eastAsia="宋体" w:cs="宋体"/>
          <w:sz w:val="24"/>
        </w:rPr>
      </w:pPr>
      <w:r>
        <w:rPr>
          <w:rFonts w:hint="eastAsia" w:ascii="宋体" w:hAnsi="宋体" w:eastAsia="宋体" w:cs="宋体"/>
          <w:sz w:val="24"/>
        </w:rPr>
        <w:t xml:space="preserve">（1）乙方无正当理由拒绝签订合同的，或者在签订合同时向甲方提出附加条件或者更改合同实质性内容要求的；</w:t>
      </w:r>
      <w:r/>
    </w:p>
    <w:p>
      <w:pPr>
        <w:ind w:firstLine="480"/>
        <w:spacing w:line="500" w:lineRule="exact"/>
        <w:rPr>
          <w:rFonts w:ascii="宋体" w:hAnsi="宋体" w:eastAsia="宋体" w:cs="宋体"/>
          <w:sz w:val="24"/>
        </w:rPr>
      </w:pPr>
      <w:r>
        <w:rPr>
          <w:rFonts w:hint="eastAsia" w:ascii="宋体" w:hAnsi="宋体" w:eastAsia="宋体" w:cs="宋体"/>
          <w:sz w:val="24"/>
        </w:rPr>
        <w:t xml:space="preserve">（2）乙方不履行与甲方订立的合同的；</w:t>
      </w:r>
      <w:r/>
    </w:p>
    <w:p>
      <w:pPr>
        <w:ind w:firstLine="480"/>
        <w:spacing w:line="500" w:lineRule="exact"/>
        <w:rPr>
          <w:rFonts w:ascii="宋体" w:hAnsi="宋体" w:eastAsia="宋体" w:cs="宋体"/>
          <w:sz w:val="24"/>
        </w:rPr>
      </w:pPr>
      <w:r>
        <w:rPr>
          <w:rFonts w:hint="eastAsia" w:ascii="宋体" w:hAnsi="宋体" w:eastAsia="宋体" w:cs="宋体"/>
          <w:sz w:val="24"/>
        </w:rPr>
        <w:t xml:space="preserve">（3）乙方所提供服务不符合招标文件规定要求的；</w:t>
      </w:r>
      <w:r/>
    </w:p>
    <w:p>
      <w:pPr>
        <w:ind w:firstLine="480"/>
        <w:spacing w:line="500" w:lineRule="exact"/>
        <w:rPr>
          <w:rFonts w:ascii="宋体" w:hAnsi="宋体" w:eastAsia="宋体" w:cs="宋体"/>
          <w:sz w:val="24"/>
        </w:rPr>
      </w:pPr>
      <w:r>
        <w:rPr>
          <w:rFonts w:hint="eastAsia" w:ascii="宋体" w:hAnsi="宋体" w:eastAsia="宋体" w:cs="宋体"/>
          <w:sz w:val="24"/>
        </w:rPr>
        <w:t xml:space="preserve">（4）乙方采取欺骗、弄虚作假方式投标的或与其它投标人串通投标的；</w:t>
      </w:r>
      <w:r/>
    </w:p>
    <w:p>
      <w:pPr>
        <w:ind w:firstLine="480"/>
        <w:spacing w:line="500" w:lineRule="exact"/>
        <w:rPr>
          <w:rFonts w:ascii="宋体" w:hAnsi="宋体" w:eastAsia="宋体" w:cs="宋体"/>
          <w:sz w:val="24"/>
        </w:rPr>
      </w:pPr>
      <w:r>
        <w:rPr>
          <w:rFonts w:hint="eastAsia" w:ascii="宋体" w:hAnsi="宋体" w:eastAsia="宋体" w:cs="宋体"/>
          <w:sz w:val="24"/>
        </w:rPr>
        <w:t xml:space="preserve">（5）乙方将合同内容转包、违法分包的；</w:t>
      </w:r>
      <w:r/>
    </w:p>
    <w:p>
      <w:pPr>
        <w:ind w:firstLine="480"/>
        <w:spacing w:line="500" w:lineRule="exact"/>
        <w:rPr>
          <w:rFonts w:ascii="宋体" w:hAnsi="宋体" w:eastAsia="宋体" w:cs="宋体"/>
          <w:sz w:val="24"/>
        </w:rPr>
      </w:pPr>
      <w:r>
        <w:rPr>
          <w:rFonts w:hint="eastAsia" w:ascii="宋体" w:hAnsi="宋体" w:eastAsia="宋体" w:cs="宋体"/>
          <w:sz w:val="24"/>
        </w:rPr>
        <w:t xml:space="preserve">（6）乙方故意捏造事实或伪造证明材料，进行虚假恶意投诉或反映的。</w:t>
      </w:r>
      <w:r/>
    </w:p>
    <w:p>
      <w:pPr>
        <w:ind w:firstLine="482"/>
        <w:spacing w:line="500" w:lineRule="exact"/>
        <w:rPr>
          <w:rFonts w:ascii="宋体" w:hAnsi="宋体" w:eastAsia="宋体" w:cs="宋体"/>
          <w:b/>
          <w:sz w:val="24"/>
        </w:rPr>
      </w:pPr>
      <w:r>
        <w:rPr>
          <w:rFonts w:hint="eastAsia" w:ascii="宋体" w:hAnsi="宋体" w:eastAsia="宋体" w:cs="宋体"/>
          <w:b/>
          <w:sz w:val="24"/>
        </w:rPr>
        <w:t xml:space="preserve">第</w:t>
      </w:r>
      <w:r>
        <w:rPr>
          <w:rFonts w:hint="eastAsia" w:ascii="宋体" w:hAnsi="宋体" w:eastAsia="宋体" w:cs="宋体"/>
          <w:b/>
          <w:sz w:val="24"/>
          <w:lang w:val="en-US" w:eastAsia="zh-CN"/>
        </w:rPr>
        <w:t xml:space="preserve">十</w:t>
      </w:r>
      <w:r>
        <w:rPr>
          <w:rFonts w:hint="eastAsia" w:ascii="宋体" w:hAnsi="宋体" w:eastAsia="宋体" w:cs="宋体"/>
          <w:b/>
          <w:sz w:val="24"/>
        </w:rPr>
        <w:t xml:space="preserve">条  本合同涉及的本项目成果的使用权</w:t>
      </w:r>
      <w:r>
        <w:rPr>
          <w:rFonts w:hint="eastAsia" w:ascii="宋体" w:hAnsi="宋体" w:eastAsia="宋体" w:cs="宋体"/>
          <w:b/>
          <w:sz w:val="24"/>
          <w:lang w:val="en-US" w:eastAsia="zh-CN"/>
        </w:rPr>
        <w:t xml:space="preserve">归甲方所有，所有权</w:t>
      </w:r>
      <w:r>
        <w:rPr>
          <w:rFonts w:hint="eastAsia" w:ascii="宋体" w:hAnsi="宋体" w:eastAsia="宋体" w:cs="宋体"/>
          <w:b/>
          <w:sz w:val="24"/>
        </w:rPr>
        <w:t xml:space="preserve">和著作权归</w:t>
      </w:r>
      <w:r>
        <w:rPr>
          <w:rFonts w:hint="eastAsia" w:ascii="宋体" w:hAnsi="宋体" w:eastAsia="宋体" w:cs="宋体"/>
          <w:b/>
          <w:sz w:val="24"/>
          <w:lang w:val="en-US" w:eastAsia="zh-CN"/>
        </w:rPr>
        <w:t xml:space="preserve">乙</w:t>
      </w:r>
      <w:r>
        <w:rPr>
          <w:rFonts w:hint="eastAsia" w:ascii="宋体" w:hAnsi="宋体" w:eastAsia="宋体" w:cs="宋体"/>
          <w:b/>
          <w:sz w:val="24"/>
        </w:rPr>
        <w:t xml:space="preserve">方所有。</w:t>
      </w:r>
      <w:r/>
    </w:p>
    <w:p>
      <w:pPr>
        <w:ind w:firstLine="482"/>
        <w:spacing w:line="500" w:lineRule="exact"/>
        <w:rPr>
          <w:rFonts w:ascii="宋体" w:hAnsi="宋体" w:eastAsia="宋体" w:cs="宋体"/>
          <w:b/>
          <w:bCs/>
          <w:sz w:val="24"/>
        </w:rPr>
      </w:pPr>
      <w:r>
        <w:rPr>
          <w:rFonts w:hint="eastAsia" w:ascii="宋体" w:hAnsi="宋体" w:eastAsia="宋体" w:cs="宋体"/>
          <w:b/>
          <w:sz w:val="24"/>
        </w:rPr>
        <w:t xml:space="preserve">第</w:t>
      </w:r>
      <w:r>
        <w:rPr>
          <w:rFonts w:hint="eastAsia" w:ascii="宋体" w:hAnsi="宋体" w:eastAsia="宋体" w:cs="宋体"/>
          <w:b/>
          <w:sz w:val="24"/>
          <w:lang w:val="en-US" w:eastAsia="zh-CN"/>
        </w:rPr>
        <w:t xml:space="preserve">十一</w:t>
      </w:r>
      <w:r>
        <w:rPr>
          <w:rFonts w:hint="eastAsia" w:ascii="宋体" w:hAnsi="宋体" w:eastAsia="宋体" w:cs="宋体"/>
          <w:b/>
          <w:sz w:val="24"/>
        </w:rPr>
        <w:t xml:space="preserve">条  </w:t>
      </w:r>
      <w:r>
        <w:rPr>
          <w:rFonts w:hint="eastAsia" w:ascii="宋体" w:hAnsi="宋体" w:eastAsia="宋体" w:cs="宋体"/>
          <w:b/>
          <w:bCs/>
          <w:sz w:val="24"/>
        </w:rPr>
        <w:t xml:space="preserve">合同转包或分包</w:t>
      </w:r>
      <w:r/>
    </w:p>
    <w:p>
      <w:pPr>
        <w:ind w:firstLine="480"/>
        <w:spacing w:line="500" w:lineRule="exact"/>
        <w:rPr>
          <w:rFonts w:ascii="宋体" w:hAnsi="宋体" w:eastAsia="宋体" w:cs="宋体"/>
          <w:sz w:val="24"/>
          <w:lang w:val="zh-CN"/>
        </w:rPr>
      </w:pPr>
      <w:r>
        <w:rPr>
          <w:rFonts w:hint="eastAsia" w:ascii="宋体" w:hAnsi="宋体" w:eastAsia="宋体" w:cs="宋体"/>
          <w:sz w:val="24"/>
          <w:lang w:val="en-US" w:eastAsia="zh-CN"/>
        </w:rPr>
        <w:t xml:space="preserve">11</w:t>
      </w:r>
      <w:r>
        <w:rPr>
          <w:rFonts w:hint="eastAsia" w:ascii="宋体" w:hAnsi="宋体" w:eastAsia="宋体" w:cs="宋体"/>
          <w:sz w:val="24"/>
        </w:rPr>
        <w:t xml:space="preserve">.1</w:t>
      </w:r>
      <w:r>
        <w:rPr>
          <w:rFonts w:hint="eastAsia" w:ascii="宋体" w:hAnsi="宋体" w:eastAsia="宋体" w:cs="宋体"/>
          <w:sz w:val="24"/>
          <w:lang w:val="zh-CN"/>
        </w:rPr>
        <w:t xml:space="preserve">乙方不得将合同标的转包给他人履行。</w:t>
      </w:r>
      <w:r/>
    </w:p>
    <w:p>
      <w:pPr>
        <w:ind w:firstLine="480"/>
        <w:spacing w:line="500" w:lineRule="exact"/>
        <w:rPr>
          <w:rFonts w:ascii="宋体" w:hAnsi="宋体" w:eastAsia="宋体" w:cs="宋体"/>
          <w:sz w:val="24"/>
          <w:lang w:val="zh-CN"/>
        </w:rPr>
      </w:pPr>
      <w:r>
        <w:rPr>
          <w:rFonts w:hint="eastAsia" w:ascii="宋体" w:hAnsi="宋体" w:eastAsia="宋体" w:cs="宋体"/>
          <w:sz w:val="24"/>
          <w:lang w:val="en-US" w:eastAsia="zh-CN"/>
        </w:rPr>
        <w:t xml:space="preserve">11</w:t>
      </w:r>
      <w:r>
        <w:rPr>
          <w:rFonts w:hint="eastAsia" w:ascii="宋体" w:hAnsi="宋体" w:eastAsia="宋体" w:cs="宋体"/>
          <w:sz w:val="24"/>
        </w:rPr>
        <w:t xml:space="preserve">.2</w:t>
      </w:r>
      <w:r>
        <w:rPr>
          <w:rFonts w:hint="eastAsia" w:ascii="宋体" w:hAnsi="宋体" w:eastAsia="宋体" w:cs="宋体"/>
          <w:sz w:val="24"/>
          <w:lang w:val="zh-CN"/>
        </w:rPr>
        <w:t xml:space="preserve">乙方不得将合同标的分包给他人履行。</w:t>
      </w:r>
      <w:r/>
    </w:p>
    <w:p>
      <w:pPr>
        <w:ind w:firstLine="480"/>
        <w:spacing w:line="500" w:lineRule="exact"/>
        <w:rPr>
          <w:rFonts w:ascii="宋体" w:hAnsi="宋体" w:eastAsia="宋体" w:cs="宋体"/>
          <w:sz w:val="24"/>
          <w:lang w:val="zh-CN"/>
        </w:rPr>
      </w:pPr>
      <w:r>
        <w:rPr>
          <w:rFonts w:hint="eastAsia" w:ascii="宋体" w:hAnsi="宋体" w:eastAsia="宋体" w:cs="宋体"/>
          <w:sz w:val="24"/>
          <w:lang w:val="en-US" w:eastAsia="zh-CN"/>
        </w:rPr>
        <w:t xml:space="preserve">11</w:t>
      </w:r>
      <w:r>
        <w:rPr>
          <w:rFonts w:hint="eastAsia" w:ascii="宋体" w:hAnsi="宋体" w:eastAsia="宋体" w:cs="宋体"/>
          <w:sz w:val="24"/>
        </w:rPr>
        <w:t xml:space="preserve">.3</w:t>
      </w:r>
      <w:r>
        <w:rPr>
          <w:rFonts w:hint="eastAsia" w:ascii="宋体" w:hAnsi="宋体" w:eastAsia="宋体" w:cs="宋体"/>
          <w:sz w:val="24"/>
          <w:lang w:val="zh-CN"/>
        </w:rPr>
        <w:t xml:space="preserve">乙方如有转包或未经甲方同意的分包行为，甲方有权解除合同。</w:t>
      </w:r>
      <w:r/>
    </w:p>
    <w:p>
      <w:pPr>
        <w:pStyle w:val="638"/>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eastAsia="宋体" w:cs="宋体"/>
          <w:b/>
          <w:sz w:val="24"/>
          <w:lang w:val="en-US" w:eastAsia="zh-CN"/>
        </w:rPr>
        <w:t xml:space="preserve">十二</w:t>
      </w:r>
      <w:r>
        <w:rPr>
          <w:rFonts w:hint="eastAsia" w:ascii="宋体" w:hAnsi="宋体" w:eastAsia="宋体" w:cs="宋体"/>
          <w:b/>
          <w:sz w:val="24"/>
          <w:szCs w:val="24"/>
        </w:rPr>
        <w:t xml:space="preserve">条  税费</w:t>
      </w:r>
      <w:r/>
    </w:p>
    <w:p>
      <w:pPr>
        <w:pStyle w:val="638"/>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与履行本合同有关的一切税费，由乙方承担。</w:t>
      </w:r>
      <w:r/>
    </w:p>
    <w:p>
      <w:pPr>
        <w:pStyle w:val="638"/>
        <w:ind w:firstLine="482"/>
        <w:spacing w:line="500" w:lineRule="exact"/>
        <w:rPr>
          <w:rFonts w:hint="default" w:ascii="宋体" w:hAnsi="宋体" w:eastAsia="宋体" w:cs="宋体"/>
          <w:b/>
          <w:sz w:val="24"/>
          <w:szCs w:val="24"/>
          <w:lang w:val="en-US" w:eastAsia="zh-CN"/>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条  </w:t>
      </w:r>
      <w:r>
        <w:rPr>
          <w:rFonts w:hint="eastAsia" w:ascii="宋体" w:hAnsi="宋体" w:eastAsia="宋体" w:cs="宋体"/>
          <w:b/>
          <w:bCs/>
          <w:sz w:val="24"/>
        </w:rPr>
        <w:t xml:space="preserve">考核管理办法及违约责任</w:t>
      </w:r>
      <w:r/>
    </w:p>
    <w:p>
      <w:pPr>
        <w:ind w:firstLine="482"/>
        <w:keepLines w:val="0"/>
        <w:keepNext w:val="0"/>
        <w:pageBreakBefore w:val="0"/>
        <w:spacing w:beforeAutospacing="0" w:afterAutospacing="0" w:line="500" w:lineRule="exact"/>
        <w:rPr>
          <w:rFonts w:hint="eastAsia" w:ascii="宋体" w:hAnsi="宋体" w:eastAsia="宋体" w:cs="宋体"/>
          <w:b w:val="0"/>
          <w:bCs w:val="0"/>
          <w:sz w:val="24"/>
        </w:rPr>
      </w:pPr>
      <w:r>
        <w:rPr>
          <w:rFonts w:hint="eastAsia" w:ascii="宋体" w:hAnsi="宋体" w:eastAsia="宋体" w:cs="宋体"/>
          <w:b/>
          <w:bCs/>
          <w:sz w:val="24"/>
          <w:lang w:val="en-US" w:eastAsia="zh-CN"/>
        </w:rPr>
        <w:t xml:space="preserve">13.1</w:t>
      </w:r>
      <w:r>
        <w:rPr>
          <w:rStyle w:val="647"/>
          <w:rFonts w:ascii="Segoe UI" w:hAnsi="Segoe UI" w:eastAsia="Segoe UI" w:cs="Segoe UI"/>
          <w:b/>
          <w:bCs/>
          <w:i w:val="0"/>
          <w:iCs w:val="0"/>
          <w:caps w:val="0"/>
          <w:color w:val="0f1115"/>
          <w:spacing w:val="0"/>
          <w:sz w:val="24"/>
          <w:szCs w:val="24"/>
          <w:shd w:val="clear" w:color="auto" w:fill="ffffff"/>
        </w:rPr>
        <w:t xml:space="preserve">项目延期交付</w:t>
      </w:r>
      <w:r>
        <w:rPr>
          <w:rStyle w:val="647"/>
          <w:rFonts w:hint="eastAsia" w:ascii="Segoe UI" w:hAnsi="Segoe UI" w:eastAsia="宋体" w:cs="Segoe UI"/>
          <w:b/>
          <w:bCs/>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乙方须确保信息系统按合同约定时间上线。因乙方责任导致系统上线延误的，每逾期一日，甲方有权扣除人民币5000元作为违约金</w:t>
      </w:r>
      <w:r>
        <w:rPr>
          <w:rFonts w:hint="eastAsia" w:ascii="宋体" w:hAnsi="宋体" w:eastAsia="宋体" w:cs="宋体"/>
          <w:b w:val="0"/>
          <w:bCs w:val="0"/>
          <w:sz w:val="24"/>
        </w:rPr>
        <w:t xml:space="preserve">。</w:t>
      </w:r>
      <w:r/>
    </w:p>
    <w:p>
      <w:pPr>
        <w:pStyle w:val="634"/>
        <w:numPr>
          <w:ilvl w:val="0"/>
          <w:numId w:val="0"/>
        </w:numPr>
        <w:ind w:firstLine="482"/>
        <w:keepLines w:val="0"/>
        <w:keepNext w:val="0"/>
        <w:pageBreakBefore w:val="0"/>
        <w:spacing w:beforeAutospacing="0" w:afterAutospacing="0" w:line="500" w:lineRule="exact"/>
        <w:rPr>
          <w:rFonts w:hint="eastAsia" w:ascii="Segoe UI" w:hAnsi="Segoe UI" w:eastAsia="Segoe UI" w:cs="Segoe UI"/>
          <w:b w:val="0"/>
          <w:bCs/>
          <w:i w:val="0"/>
          <w:iCs w:val="0"/>
          <w:caps w:val="0"/>
          <w:color w:val="0f1115"/>
          <w:spacing w:val="0"/>
          <w:sz w:val="24"/>
          <w:szCs w:val="24"/>
          <w:shd w:val="clear" w:color="auto" w:fill="ffffff"/>
          <w:lang w:val="en-US" w:eastAsia="zh-CN" w:bidi="ar-SA"/>
        </w:rPr>
      </w:pPr>
      <w:r>
        <w:rPr>
          <w:rFonts w:hint="eastAsia" w:ascii="宋体" w:hAnsi="宋体" w:eastAsia="宋体" w:cs="宋体"/>
          <w:b/>
          <w:bCs/>
          <w:sz w:val="24"/>
          <w:lang w:val="en-US" w:eastAsia="zh-CN"/>
        </w:rPr>
        <w:t xml:space="preserve">13.2</w:t>
      </w:r>
      <w:r>
        <w:rPr>
          <w:rStyle w:val="647"/>
          <w:rFonts w:ascii="Segoe UI" w:hAnsi="Segoe UI" w:eastAsia="Segoe UI" w:cs="Segoe UI"/>
          <w:b/>
          <w:bCs/>
          <w:i w:val="0"/>
          <w:iCs w:val="0"/>
          <w:caps w:val="0"/>
          <w:color w:val="0f1115"/>
          <w:spacing w:val="0"/>
          <w:sz w:val="24"/>
          <w:szCs w:val="24"/>
          <w:shd w:val="clear" w:color="auto" w:fill="ffffff"/>
        </w:rPr>
        <w:t xml:space="preserve">功能符合性验收</w:t>
      </w:r>
      <w:r>
        <w:rPr>
          <w:rStyle w:val="647"/>
          <w:rFonts w:hint="eastAsia" w:ascii="Segoe UI" w:hAnsi="Segoe UI" w:eastAsia="宋体" w:cs="Segoe UI"/>
          <w:b/>
          <w:bCs/>
          <w:i w:val="0"/>
          <w:iCs w:val="0"/>
          <w:caps w:val="0"/>
          <w:color w:val="0f1115"/>
          <w:spacing w:val="0"/>
          <w:sz w:val="24"/>
          <w:szCs w:val="24"/>
          <w:shd w:val="clear" w:color="auto" w:fill="ffffff"/>
          <w:lang w:eastAsia="zh-CN"/>
        </w:rPr>
        <w:t xml:space="preserve">：</w:t>
      </w:r>
      <w:r>
        <w:rPr>
          <w:rFonts w:ascii="Segoe UI" w:hAnsi="Segoe UI" w:eastAsia="Segoe UI" w:cs="Segoe UI"/>
          <w:b w:val="0"/>
          <w:bCs/>
          <w:i w:val="0"/>
          <w:iCs w:val="0"/>
          <w:caps w:val="0"/>
          <w:color w:val="0f1115"/>
          <w:spacing w:val="0"/>
          <w:sz w:val="24"/>
          <w:szCs w:val="24"/>
          <w:shd w:val="clear" w:color="auto" w:fill="ffffff"/>
        </w:rPr>
        <w:t xml:space="preserve">系统最终验收须以招标文件所列功能参数为基准进行逐项验证。若某项已实现的功能不符合院方业务需求并对科室使用造成影响，则按每项10,000元的标准扣罚；若出现任何功能缺失，则视为系统验收不合格，甲方有权单方解除合同并没收履约保证金</w:t>
      </w:r>
      <w:r>
        <w:rPr>
          <w:rFonts w:hint="eastAsia" w:ascii="Segoe UI" w:hAnsi="Segoe UI" w:eastAsia="Segoe UI" w:cs="Segoe UI"/>
          <w:b w:val="0"/>
          <w:bCs/>
          <w:i w:val="0"/>
          <w:iCs w:val="0"/>
          <w:caps w:val="0"/>
          <w:color w:val="0f1115"/>
          <w:spacing w:val="0"/>
          <w:sz w:val="24"/>
          <w:szCs w:val="24"/>
          <w:shd w:val="clear" w:color="auto" w:fill="ffffff"/>
          <w:lang w:val="en-US" w:eastAsia="zh-CN" w:bidi="ar-SA"/>
        </w:rPr>
        <w:t xml:space="preserve">。</w:t>
      </w:r>
      <w:r/>
    </w:p>
    <w:p>
      <w:pPr>
        <w:pStyle w:val="634"/>
        <w:numPr>
          <w:ilvl w:val="0"/>
          <w:numId w:val="0"/>
        </w:numPr>
        <w:ind w:firstLine="482"/>
        <w:keepLines w:val="0"/>
        <w:keepNext w:val="0"/>
        <w:pageBreakBefore w:val="0"/>
        <w:spacing w:beforeAutospacing="0" w:afterAutospacing="0" w:line="500" w:lineRule="exact"/>
        <w:rPr>
          <w:rFonts w:hint="eastAsia" w:ascii="Segoe UI" w:hAnsi="Segoe UI" w:eastAsia="宋体" w:cs="Segoe UI"/>
          <w:b w:val="0"/>
          <w:bCs/>
          <w:i w:val="0"/>
          <w:iCs w:val="0"/>
          <w:caps w:val="0"/>
          <w:color w:val="0f1115"/>
          <w:spacing w:val="0"/>
          <w:sz w:val="24"/>
          <w:szCs w:val="24"/>
          <w:shd w:val="clear" w:color="auto" w:fill="ffffff"/>
          <w:lang w:eastAsia="zh-CN"/>
        </w:rPr>
      </w:pPr>
      <w:r>
        <w:rPr>
          <w:rFonts w:hint="eastAsia" w:ascii="Segoe UI" w:hAnsi="Segoe UI" w:eastAsia="宋体" w:cs="Segoe UI"/>
          <w:b/>
          <w:bCs/>
          <w:i w:val="0"/>
          <w:iCs w:val="0"/>
          <w:caps w:val="0"/>
          <w:color w:val="0f1115"/>
          <w:spacing w:val="0"/>
          <w:sz w:val="24"/>
          <w:szCs w:val="24"/>
          <w:shd w:val="clear" w:color="auto" w:fill="ffffff"/>
          <w:lang w:val="en-US" w:eastAsia="zh-CN"/>
        </w:rPr>
        <w:t xml:space="preserve">13.3</w:t>
      </w:r>
      <w:r>
        <w:rPr>
          <w:rStyle w:val="647"/>
          <w:rFonts w:ascii="Segoe UI" w:hAnsi="Segoe UI" w:eastAsia="Segoe UI" w:cs="Segoe UI"/>
          <w:b/>
          <w:bCs/>
          <w:i w:val="0"/>
          <w:iCs w:val="0"/>
          <w:caps w:val="0"/>
          <w:color w:val="0f1115"/>
          <w:spacing w:val="0"/>
          <w:sz w:val="24"/>
          <w:szCs w:val="24"/>
          <w:shd w:val="clear" w:color="auto" w:fill="ffffff"/>
        </w:rPr>
        <w:t xml:space="preserve">系统集成质量</w:t>
      </w:r>
      <w:r>
        <w:rPr>
          <w:rStyle w:val="647"/>
          <w:rFonts w:hint="eastAsia" w:ascii="Segoe UI" w:hAnsi="Segoe UI" w:eastAsia="宋体" w:cs="Segoe UI"/>
          <w:b/>
          <w:bCs/>
          <w:i w:val="0"/>
          <w:iCs w:val="0"/>
          <w:caps w:val="0"/>
          <w:color w:val="0f1115"/>
          <w:spacing w:val="0"/>
          <w:sz w:val="24"/>
          <w:szCs w:val="24"/>
          <w:shd w:val="clear" w:color="auto" w:fill="ffffff"/>
          <w:lang w:val="en-US" w:eastAsia="zh-CN"/>
        </w:rPr>
        <w:t xml:space="preserve">:</w:t>
      </w:r>
      <w:r>
        <w:rPr>
          <w:rFonts w:ascii="Segoe UI" w:hAnsi="Segoe UI" w:eastAsia="Segoe UI" w:cs="Segoe UI"/>
          <w:b w:val="0"/>
          <w:bCs/>
          <w:i w:val="0"/>
          <w:iCs w:val="0"/>
          <w:caps w:val="0"/>
          <w:color w:val="0f1115"/>
          <w:spacing w:val="0"/>
          <w:sz w:val="24"/>
          <w:szCs w:val="24"/>
          <w:shd w:val="clear" w:color="auto" w:fill="ffffff"/>
        </w:rPr>
        <w:t xml:space="preserve">乙方须保证系统接口交互正常、逻辑正确，确保跨系统数据的准确性与一致性。因接口错误导致数据偏差的，每次扣除人民币5000元</w:t>
      </w:r>
      <w:r>
        <w:rPr>
          <w:rFonts w:hint="eastAsia" w:ascii="Segoe UI" w:hAnsi="Segoe UI" w:eastAsia="宋体" w:cs="Segoe UI"/>
          <w:b w:val="0"/>
          <w:bCs/>
          <w:i w:val="0"/>
          <w:iCs w:val="0"/>
          <w:caps w:val="0"/>
          <w:color w:val="0f1115"/>
          <w:spacing w:val="0"/>
          <w:sz w:val="24"/>
          <w:szCs w:val="24"/>
          <w:shd w:val="clear" w:color="auto" w:fill="ffffff"/>
          <w:lang w:eastAsia="zh-CN"/>
        </w:rPr>
        <w:t xml:space="preserve">。</w:t>
      </w:r>
      <w:r/>
    </w:p>
    <w:p>
      <w:pPr>
        <w:pStyle w:val="634"/>
        <w:numPr>
          <w:ilvl w:val="0"/>
          <w:numId w:val="0"/>
        </w:numPr>
        <w:ind w:firstLine="482"/>
        <w:keepLines w:val="0"/>
        <w:keepNext w:val="0"/>
        <w:pageBreakBefore w:val="0"/>
        <w:spacing w:beforeAutospacing="0" w:afterAutospacing="0" w:line="500" w:lineRule="exact"/>
        <w:rPr>
          <w:rFonts w:hint="eastAsia" w:ascii="Segoe UI" w:hAnsi="Segoe UI" w:eastAsia="宋体" w:cs="Segoe UI"/>
          <w:b w:val="0"/>
          <w:bCs w:val="0"/>
          <w:i w:val="0"/>
          <w:iCs w:val="0"/>
          <w:caps w:val="0"/>
          <w:color w:val="0f1115"/>
          <w:spacing w:val="0"/>
          <w:sz w:val="24"/>
          <w:szCs w:val="24"/>
          <w:shd w:val="clear" w:color="auto" w:fill="ffffff"/>
          <w:lang w:eastAsia="zh-CN"/>
        </w:rPr>
      </w:pPr>
      <w:r>
        <w:rPr>
          <w:rFonts w:hint="eastAsia" w:ascii="Segoe UI" w:hAnsi="Segoe UI" w:eastAsia="宋体" w:cs="Segoe UI"/>
          <w:b/>
          <w:bCs/>
          <w:i w:val="0"/>
          <w:iCs w:val="0"/>
          <w:caps w:val="0"/>
          <w:color w:val="0f1115"/>
          <w:spacing w:val="0"/>
          <w:sz w:val="24"/>
          <w:szCs w:val="24"/>
          <w:shd w:val="clear" w:color="auto" w:fill="ffffff"/>
          <w:lang w:val="en-US" w:eastAsia="zh-CN"/>
        </w:rPr>
        <w:t xml:space="preserve">13.4</w:t>
      </w:r>
      <w:r>
        <w:rPr>
          <w:rStyle w:val="647"/>
          <w:rFonts w:ascii="Segoe UI" w:hAnsi="Segoe UI" w:eastAsia="Segoe UI" w:cs="Segoe UI"/>
          <w:b/>
          <w:bCs/>
          <w:i w:val="0"/>
          <w:iCs w:val="0"/>
          <w:caps w:val="0"/>
          <w:color w:val="0f1115"/>
          <w:spacing w:val="0"/>
          <w:sz w:val="24"/>
          <w:szCs w:val="24"/>
          <w:shd w:val="clear" w:color="auto" w:fill="ffffff"/>
        </w:rPr>
        <w:t xml:space="preserve">系统性能与维护</w:t>
      </w:r>
      <w:r>
        <w:rPr>
          <w:rStyle w:val="647"/>
          <w:rFonts w:hint="eastAsia" w:ascii="Segoe UI" w:hAnsi="Segoe UI" w:eastAsia="宋体" w:cs="Segoe UI"/>
          <w:b/>
          <w:bCs/>
          <w:i w:val="0"/>
          <w:iCs w:val="0"/>
          <w:caps w:val="0"/>
          <w:color w:val="0f1115"/>
          <w:spacing w:val="0"/>
          <w:sz w:val="24"/>
          <w:szCs w:val="24"/>
          <w:shd w:val="clear" w:color="auto" w:fill="ffffff"/>
          <w:lang w:val="en-US" w:eastAsia="zh-CN"/>
        </w:rPr>
        <w:t xml:space="preserve">:</w:t>
      </w:r>
      <w:r/>
    </w:p>
    <w:p>
      <w:pPr>
        <w:pStyle w:val="634"/>
        <w:numPr>
          <w:ilvl w:val="0"/>
          <w:numId w:val="0"/>
        </w:numPr>
        <w:ind w:firstLine="480"/>
        <w:keepLines w:val="0"/>
        <w:keepNext w:val="0"/>
        <w:pageBreakBefore w:val="0"/>
        <w:spacing w:beforeAutospacing="0" w:afterAutospacing="0" w:line="500" w:lineRule="exact"/>
        <w:rPr>
          <w:rStyle w:val="647"/>
          <w:rFonts w:hint="eastAsia" w:ascii="Segoe UI" w:hAnsi="Segoe UI" w:eastAsia="宋体" w:cs="Segoe UI"/>
          <w:b w:val="0"/>
          <w:bCs/>
          <w:i w:val="0"/>
          <w:iCs w:val="0"/>
          <w:caps w:val="0"/>
          <w:color w:val="0f1115"/>
          <w:spacing w:val="0"/>
          <w:sz w:val="24"/>
          <w:szCs w:val="24"/>
          <w:shd w:val="clear" w:color="auto" w:fill="ffffff"/>
          <w:lang w:val="en-US" w:eastAsia="zh-CN"/>
        </w:rPr>
      </w:pPr>
      <w:r>
        <w:rPr>
          <w:rFonts w:hint="eastAsia" w:ascii="Segoe UI" w:hAnsi="Segoe UI" w:eastAsia="宋体" w:cs="Segoe UI"/>
          <w:b w:val="0"/>
          <w:bCs w:val="0"/>
          <w:i w:val="0"/>
          <w:iCs w:val="0"/>
          <w:caps w:val="0"/>
          <w:color w:val="0f1115"/>
          <w:spacing w:val="0"/>
          <w:sz w:val="24"/>
          <w:szCs w:val="24"/>
          <w:shd w:val="clear" w:color="auto" w:fill="ffffff"/>
          <w:lang w:val="en-US" w:eastAsia="zh-CN"/>
        </w:rPr>
        <w:t xml:space="preserve">13.4.1</w:t>
      </w:r>
      <w:r>
        <w:rPr>
          <w:rFonts w:ascii="Segoe UI" w:hAnsi="Segoe UI" w:eastAsia="Segoe UI" w:cs="Segoe UI"/>
          <w:b w:val="0"/>
          <w:bCs/>
          <w:i w:val="0"/>
          <w:iCs w:val="0"/>
          <w:caps w:val="0"/>
          <w:color w:val="0f1115"/>
          <w:spacing w:val="0"/>
          <w:sz w:val="24"/>
          <w:szCs w:val="24"/>
          <w:shd w:val="clear" w:color="auto" w:fill="ffffff"/>
        </w:rPr>
        <w:t xml:space="preserve">乙方应定期巡查服务器性能指标（包括但不限于CPU、内存等），确保系统稳定运行。缺少巡查记录的，每次从维保款中扣除人民币5000元</w:t>
      </w:r>
      <w:r>
        <w:rPr>
          <w:rFonts w:hint="eastAsia" w:ascii="Segoe UI" w:hAnsi="Segoe UI" w:eastAsia="宋体" w:cs="Segoe UI"/>
          <w:b w:val="0"/>
          <w:bCs/>
          <w:i w:val="0"/>
          <w:iCs w:val="0"/>
          <w:caps w:val="0"/>
          <w:color w:val="0f1115"/>
          <w:spacing w:val="0"/>
          <w:sz w:val="24"/>
          <w:szCs w:val="24"/>
          <w:shd w:val="clear" w:color="auto" w:fill="ffffff"/>
          <w:lang w:eastAsia="zh-CN"/>
        </w:rPr>
        <w:t xml:space="preserve">。</w:t>
      </w:r>
      <w:r/>
    </w:p>
    <w:p>
      <w:pPr>
        <w:pStyle w:val="634"/>
        <w:numPr>
          <w:ilvl w:val="0"/>
          <w:numId w:val="0"/>
        </w:numPr>
        <w:ind w:firstLine="480"/>
        <w:keepLines w:val="0"/>
        <w:keepNext w:val="0"/>
        <w:pageBreakBefore w:val="0"/>
        <w:spacing w:beforeAutospacing="0" w:afterAutospacing="0" w:line="500" w:lineRule="exact"/>
        <w:rPr>
          <w:rStyle w:val="647"/>
          <w:rFonts w:hint="eastAsia" w:ascii="Segoe UI" w:hAnsi="Segoe UI" w:eastAsia="宋体" w:cs="Segoe UI"/>
          <w:b w:val="0"/>
          <w:bCs w:val="0"/>
          <w:i w:val="0"/>
          <w:iCs w:val="0"/>
          <w:caps w:val="0"/>
          <w:color w:val="0f1115"/>
          <w:spacing w:val="0"/>
          <w:sz w:val="24"/>
          <w:szCs w:val="24"/>
          <w:shd w:val="clear" w:color="auto" w:fill="ffffff"/>
          <w:lang w:eastAsia="zh-CN"/>
        </w:rPr>
      </w:pPr>
      <w:r>
        <w:rPr>
          <w:rFonts w:hint="eastAsia" w:ascii="Segoe UI" w:hAnsi="Segoe UI" w:eastAsia="宋体" w:cs="Segoe UI"/>
          <w:b w:val="0"/>
          <w:bCs w:val="0"/>
          <w:i w:val="0"/>
          <w:iCs w:val="0"/>
          <w:caps w:val="0"/>
          <w:color w:val="0f1115"/>
          <w:spacing w:val="0"/>
          <w:sz w:val="24"/>
          <w:szCs w:val="24"/>
          <w:shd w:val="clear" w:color="auto" w:fill="ffffff"/>
          <w:lang w:val="en-US" w:eastAsia="zh-CN"/>
        </w:rPr>
        <w:t xml:space="preserve">13.4.2</w:t>
      </w:r>
      <w:r>
        <w:rPr>
          <w:rFonts w:ascii="Segoe UI" w:hAnsi="Segoe UI" w:eastAsia="Segoe UI" w:cs="Segoe UI"/>
          <w:b w:val="0"/>
          <w:bCs w:val="0"/>
          <w:i w:val="0"/>
          <w:iCs w:val="0"/>
          <w:caps w:val="0"/>
          <w:color w:val="0f1115"/>
          <w:spacing w:val="0"/>
          <w:sz w:val="24"/>
          <w:szCs w:val="24"/>
          <w:shd w:val="clear" w:color="auto" w:fill="ffffff"/>
        </w:rPr>
        <w:t xml:space="preserve">因未履行巡查职责导致系统因资源不足无法运行的，每次扣除项目款人民币10000元</w:t>
      </w:r>
      <w:r>
        <w:rPr>
          <w:rStyle w:val="647"/>
          <w:rFonts w:hint="eastAsia" w:ascii="Segoe UI" w:hAnsi="Segoe UI" w:eastAsia="宋体" w:cs="Segoe UI"/>
          <w:b w:val="0"/>
          <w:bCs w:val="0"/>
          <w:i w:val="0"/>
          <w:iCs w:val="0"/>
          <w:caps w:val="0"/>
          <w:color w:val="0f1115"/>
          <w:spacing w:val="0"/>
          <w:sz w:val="24"/>
          <w:szCs w:val="24"/>
          <w:shd w:val="clear" w:color="auto" w:fill="ffffff"/>
          <w:lang w:eastAsia="zh-CN"/>
        </w:rPr>
        <w:t xml:space="preserve">。</w:t>
      </w:r>
      <w:r/>
    </w:p>
    <w:p>
      <w:pPr>
        <w:pStyle w:val="634"/>
        <w:numPr>
          <w:ilvl w:val="0"/>
          <w:numId w:val="0"/>
        </w:numPr>
        <w:ind w:firstLine="482"/>
        <w:keepLines w:val="0"/>
        <w:keepNext w:val="0"/>
        <w:pageBreakBefore w:val="0"/>
        <w:spacing w:beforeAutospacing="0" w:afterAutospacing="0" w:line="500" w:lineRule="exact"/>
        <w:rPr>
          <w:rFonts w:hint="eastAsia" w:ascii="Segoe UI" w:hAnsi="Segoe UI" w:eastAsia="宋体" w:cs="Segoe UI"/>
          <w:b w:val="0"/>
          <w:bCs/>
          <w:i w:val="0"/>
          <w:iCs w:val="0"/>
          <w:caps w:val="0"/>
          <w:color w:val="0f1115"/>
          <w:spacing w:val="0"/>
          <w:sz w:val="24"/>
          <w:szCs w:val="24"/>
          <w:shd w:val="clear" w:color="auto" w:fill="ffffff"/>
          <w:lang w:eastAsia="zh-CN"/>
        </w:rPr>
      </w:pPr>
      <w:r>
        <w:rPr>
          <w:rStyle w:val="647"/>
          <w:rFonts w:hint="eastAsia" w:ascii="Segoe UI" w:hAnsi="Segoe UI" w:eastAsia="宋体" w:cs="Segoe UI"/>
          <w:b/>
          <w:bCs/>
          <w:i w:val="0"/>
          <w:iCs w:val="0"/>
          <w:caps w:val="0"/>
          <w:color w:val="0f1115"/>
          <w:spacing w:val="0"/>
          <w:sz w:val="24"/>
          <w:szCs w:val="24"/>
          <w:shd w:val="clear" w:color="auto" w:fill="ffffff"/>
          <w:lang w:val="en-US" w:eastAsia="zh-CN"/>
        </w:rPr>
        <w:t xml:space="preserve">13.5</w:t>
      </w:r>
      <w:r>
        <w:rPr>
          <w:rStyle w:val="647"/>
          <w:rFonts w:ascii="Segoe UI" w:hAnsi="Segoe UI" w:eastAsia="Segoe UI" w:cs="Segoe UI"/>
          <w:b/>
          <w:bCs/>
          <w:i w:val="0"/>
          <w:iCs w:val="0"/>
          <w:caps w:val="0"/>
          <w:color w:val="0f1115"/>
          <w:spacing w:val="0"/>
          <w:sz w:val="24"/>
          <w:szCs w:val="24"/>
          <w:shd w:val="clear" w:color="auto" w:fill="ffffff"/>
        </w:rPr>
        <w:t xml:space="preserve">系统安全保障</w:t>
      </w:r>
      <w:r>
        <w:rPr>
          <w:rStyle w:val="647"/>
          <w:rFonts w:hint="eastAsia" w:ascii="Segoe UI" w:hAnsi="Segoe UI" w:eastAsia="宋体" w:cs="Segoe UI"/>
          <w:b/>
          <w:bCs/>
          <w:i w:val="0"/>
          <w:iCs w:val="0"/>
          <w:caps w:val="0"/>
          <w:color w:val="0f1115"/>
          <w:spacing w:val="0"/>
          <w:sz w:val="24"/>
          <w:szCs w:val="24"/>
          <w:shd w:val="clear" w:color="auto" w:fill="ffffff"/>
          <w:lang w:val="en-US" w:eastAsia="zh-CN"/>
        </w:rPr>
        <w:t xml:space="preserve">:</w:t>
      </w:r>
      <w:r>
        <w:rPr>
          <w:rFonts w:ascii="Segoe UI" w:hAnsi="Segoe UI" w:eastAsia="Segoe UI" w:cs="Segoe UI"/>
          <w:b w:val="0"/>
          <w:bCs/>
          <w:i w:val="0"/>
          <w:iCs w:val="0"/>
          <w:caps w:val="0"/>
          <w:color w:val="0f1115"/>
          <w:spacing w:val="0"/>
          <w:sz w:val="24"/>
          <w:szCs w:val="24"/>
          <w:shd w:val="clear" w:color="auto" w:fill="ffffff"/>
        </w:rPr>
        <w:t xml:space="preserve">系统存在安全漏洞（包括但不限于SQL注入、XSS等）、身份认证缺陷或数据安全风险，导致严重故障、信息泄露或被上级通报的，每次扣除人民币20000元</w:t>
      </w:r>
      <w:r>
        <w:rPr>
          <w:rFonts w:hint="eastAsia" w:ascii="Segoe UI" w:hAnsi="Segoe UI" w:eastAsia="宋体" w:cs="Segoe UI"/>
          <w:b w:val="0"/>
          <w:bCs/>
          <w:i w:val="0"/>
          <w:iCs w:val="0"/>
          <w:caps w:val="0"/>
          <w:color w:val="0f1115"/>
          <w:spacing w:val="0"/>
          <w:sz w:val="24"/>
          <w:szCs w:val="24"/>
          <w:shd w:val="clear" w:color="auto" w:fill="ffffff"/>
          <w:lang w:eastAsia="zh-CN"/>
        </w:rPr>
        <w:t xml:space="preserve">。</w:t>
      </w:r>
      <w:r/>
    </w:p>
    <w:p>
      <w:pPr>
        <w:pStyle w:val="634"/>
        <w:ind w:firstLine="482"/>
        <w:keepLines w:val="0"/>
        <w:keepNext w:val="0"/>
        <w:pageBreakBefore w:val="0"/>
        <w:spacing w:beforeAutospacing="0" w:afterAutospacing="0" w:line="500" w:lineRule="exact"/>
        <w:rPr>
          <w:rStyle w:val="647"/>
          <w:rFonts w:hint="eastAsia" w:ascii="Segoe UI" w:hAnsi="Segoe UI" w:eastAsia="宋体" w:cs="Segoe UI"/>
          <w:b w:val="0"/>
          <w:bCs/>
          <w:i w:val="0"/>
          <w:iCs w:val="0"/>
          <w:caps w:val="0"/>
          <w:color w:val="0f1115"/>
          <w:spacing w:val="0"/>
          <w:sz w:val="24"/>
          <w:szCs w:val="24"/>
          <w:shd w:val="clear" w:color="auto" w:fill="ffffff"/>
          <w:lang w:eastAsia="zh-CN"/>
        </w:rPr>
      </w:pPr>
      <w:r>
        <w:rPr>
          <w:rFonts w:hint="eastAsia" w:ascii="Segoe UI" w:hAnsi="Segoe UI" w:eastAsia="宋体" w:cs="Segoe UI"/>
          <w:b/>
          <w:bCs/>
          <w:i w:val="0"/>
          <w:iCs w:val="0"/>
          <w:caps w:val="0"/>
          <w:color w:val="0f1115"/>
          <w:spacing w:val="0"/>
          <w:sz w:val="24"/>
          <w:szCs w:val="24"/>
          <w:shd w:val="clear" w:color="auto" w:fill="ffffff"/>
          <w:lang w:val="en-US" w:eastAsia="zh-CN"/>
        </w:rPr>
        <w:t xml:space="preserve">13.6</w:t>
      </w:r>
      <w:r>
        <w:rPr>
          <w:rStyle w:val="647"/>
          <w:rFonts w:ascii="Segoe UI" w:hAnsi="Segoe UI" w:eastAsia="Segoe UI" w:cs="Segoe UI"/>
          <w:b/>
          <w:bCs/>
          <w:i w:val="0"/>
          <w:iCs w:val="0"/>
          <w:caps w:val="0"/>
          <w:color w:val="0f1115"/>
          <w:spacing w:val="0"/>
          <w:sz w:val="24"/>
          <w:szCs w:val="24"/>
          <w:shd w:val="clear" w:color="auto" w:fill="ffffff"/>
        </w:rPr>
        <w:t xml:space="preserve">故障应急响应</w:t>
      </w:r>
      <w:r>
        <w:rPr>
          <w:rStyle w:val="647"/>
          <w:rFonts w:hint="eastAsia" w:ascii="Segoe UI" w:hAnsi="Segoe UI" w:eastAsia="宋体" w:cs="Segoe UI"/>
          <w:b/>
          <w:bCs/>
          <w:i w:val="0"/>
          <w:iCs w:val="0"/>
          <w:caps w:val="0"/>
          <w:color w:val="0f1115"/>
          <w:spacing w:val="0"/>
          <w:sz w:val="24"/>
          <w:szCs w:val="24"/>
          <w:shd w:val="clear" w:color="auto" w:fill="ffffff"/>
          <w:lang w:eastAsia="zh-CN"/>
        </w:rPr>
        <w:t xml:space="preserve">：</w:t>
      </w:r>
      <w:r>
        <w:rPr>
          <w:rFonts w:ascii="Segoe UI" w:hAnsi="Segoe UI" w:eastAsia="Segoe UI" w:cs="Segoe UI"/>
          <w:b w:val="0"/>
          <w:bCs/>
          <w:i w:val="0"/>
          <w:iCs w:val="0"/>
          <w:caps w:val="0"/>
          <w:color w:val="0f1115"/>
          <w:spacing w:val="0"/>
          <w:sz w:val="24"/>
          <w:szCs w:val="24"/>
          <w:shd w:val="clear" w:color="auto" w:fill="ffffff"/>
        </w:rPr>
        <w:t xml:space="preserve">系统发生不可用故障时，乙方负责人须在15分钟内完成事件确认与响应；若故障在30分钟内未能解决并对临床业务造成严重影响，乙方应立即启动应急预案并严格执行处置流程，同时向医院领导及公司上级汇报，且每次违规事件将扣除项目款5000元</w:t>
      </w:r>
      <w:r>
        <w:rPr>
          <w:rStyle w:val="647"/>
          <w:rFonts w:hint="eastAsia" w:ascii="Segoe UI" w:hAnsi="Segoe UI" w:eastAsia="宋体" w:cs="Segoe UI"/>
          <w:b w:val="0"/>
          <w:bCs/>
          <w:i w:val="0"/>
          <w:iCs w:val="0"/>
          <w:caps w:val="0"/>
          <w:color w:val="0f1115"/>
          <w:spacing w:val="0"/>
          <w:sz w:val="24"/>
          <w:szCs w:val="24"/>
          <w:shd w:val="clear" w:color="auto" w:fill="ffffff"/>
          <w:lang w:eastAsia="zh-CN"/>
        </w:rPr>
        <w:t xml:space="preserve">。</w:t>
      </w:r>
      <w:r/>
    </w:p>
    <w:p>
      <w:pPr>
        <w:pStyle w:val="634"/>
        <w:ind w:firstLine="482"/>
        <w:keepLines w:val="0"/>
        <w:keepNext w:val="0"/>
        <w:pageBreakBefore w:val="0"/>
        <w:spacing w:beforeAutospacing="0" w:afterAutospacing="0" w:line="500" w:lineRule="exact"/>
        <w:rPr>
          <w:rStyle w:val="647"/>
          <w:rFonts w:hint="eastAsia" w:ascii="Segoe UI" w:hAnsi="Segoe UI" w:eastAsia="宋体" w:cs="Segoe UI"/>
          <w:b w:val="0"/>
          <w:bCs w:val="0"/>
          <w:i w:val="0"/>
          <w:iCs w:val="0"/>
          <w:caps w:val="0"/>
          <w:color w:val="0f1115"/>
          <w:spacing w:val="0"/>
          <w:sz w:val="24"/>
          <w:szCs w:val="24"/>
          <w:shd w:val="clear" w:color="auto" w:fill="ffffff"/>
          <w:lang w:eastAsia="zh-CN"/>
        </w:rPr>
      </w:pPr>
      <w:r>
        <w:rPr>
          <w:rStyle w:val="647"/>
          <w:rFonts w:hint="eastAsia" w:ascii="Segoe UI" w:hAnsi="Segoe UI" w:eastAsia="宋体" w:cs="Segoe UI"/>
          <w:b/>
          <w:bCs/>
          <w:i w:val="0"/>
          <w:iCs w:val="0"/>
          <w:caps w:val="0"/>
          <w:color w:val="0f1115"/>
          <w:spacing w:val="0"/>
          <w:sz w:val="24"/>
          <w:szCs w:val="24"/>
          <w:shd w:val="clear" w:color="auto" w:fill="ffffff"/>
          <w:lang w:val="en-US" w:eastAsia="zh-CN"/>
        </w:rPr>
        <w:t xml:space="preserve">13.7</w:t>
      </w:r>
      <w:r>
        <w:rPr>
          <w:rStyle w:val="647"/>
          <w:rFonts w:ascii="Segoe UI" w:hAnsi="Segoe UI" w:eastAsia="Segoe UI" w:cs="Segoe UI"/>
          <w:b/>
          <w:bCs/>
          <w:i w:val="0"/>
          <w:iCs w:val="0"/>
          <w:caps w:val="0"/>
          <w:color w:val="0f1115"/>
          <w:spacing w:val="0"/>
          <w:sz w:val="24"/>
          <w:szCs w:val="24"/>
          <w:shd w:val="clear" w:color="auto" w:fill="ffffff"/>
        </w:rPr>
        <w:t xml:space="preserve">项目人员稳定性</w:t>
      </w:r>
      <w:r>
        <w:rPr>
          <w:rStyle w:val="647"/>
          <w:rFonts w:hint="eastAsia" w:ascii="Segoe UI" w:hAnsi="Segoe UI" w:eastAsia="宋体" w:cs="Segoe UI"/>
          <w:b/>
          <w:bCs/>
          <w:i w:val="0"/>
          <w:iCs w:val="0"/>
          <w:caps w:val="0"/>
          <w:color w:val="0f1115"/>
          <w:spacing w:val="0"/>
          <w:sz w:val="24"/>
          <w:szCs w:val="24"/>
          <w:shd w:val="clear" w:color="auto" w:fill="ffffff"/>
          <w:lang w:val="en-US" w:eastAsia="zh-CN"/>
        </w:rPr>
        <w:t xml:space="preserve">:</w:t>
      </w:r>
      <w:r>
        <w:rPr>
          <w:rFonts w:ascii="Segoe UI" w:hAnsi="Segoe UI" w:eastAsia="Segoe UI" w:cs="Segoe UI"/>
          <w:b w:val="0"/>
          <w:bCs/>
          <w:i w:val="0"/>
          <w:iCs w:val="0"/>
          <w:caps w:val="0"/>
          <w:color w:val="0f1115"/>
          <w:spacing w:val="0"/>
          <w:sz w:val="24"/>
          <w:szCs w:val="24"/>
          <w:shd w:val="clear" w:color="auto" w:fill="ffffff"/>
        </w:rPr>
        <w:t xml:space="preserve">系统上线期间，乙方须成立专职项目实施小组并驻场工作，同时指定固定项目经理；系统验收进入免费维保期后，乙方须指定专职项目负责人以保障系统稳定运行。未经甲方书面同意，乙方不得擅自更换项目经理或项目负责人，否则甲方有权按每次5000元的标准扣罚项目款</w:t>
      </w:r>
      <w:r>
        <w:rPr>
          <w:rStyle w:val="647"/>
          <w:rFonts w:hint="eastAsia" w:ascii="Segoe UI" w:hAnsi="Segoe UI" w:eastAsia="宋体" w:cs="Segoe UI"/>
          <w:b w:val="0"/>
          <w:bCs/>
          <w:i w:val="0"/>
          <w:iCs w:val="0"/>
          <w:caps w:val="0"/>
          <w:color w:val="0f1115"/>
          <w:spacing w:val="0"/>
          <w:sz w:val="24"/>
          <w:szCs w:val="24"/>
          <w:shd w:val="clear" w:color="auto" w:fill="ffffff"/>
          <w:lang w:eastAsia="zh-CN"/>
        </w:rPr>
        <w:t xml:space="preserve">。</w:t>
      </w:r>
      <w:r/>
    </w:p>
    <w:p>
      <w:pPr>
        <w:pStyle w:val="634"/>
        <w:ind w:firstLine="482"/>
        <w:keepLines w:val="0"/>
        <w:keepNext w:val="0"/>
        <w:pageBreakBefore w:val="0"/>
        <w:spacing w:beforeAutospacing="0" w:afterAutospacing="0" w:line="500" w:lineRule="exact"/>
        <w:rPr>
          <w:rFonts w:hint="eastAsia" w:ascii="Segoe UI" w:hAnsi="Segoe UI" w:eastAsia="宋体" w:cs="Segoe UI"/>
          <w:b w:val="0"/>
          <w:bCs w:val="0"/>
          <w:i w:val="0"/>
          <w:iCs w:val="0"/>
          <w:caps w:val="0"/>
          <w:color w:val="0f1115"/>
          <w:spacing w:val="0"/>
          <w:sz w:val="24"/>
          <w:szCs w:val="24"/>
          <w:shd w:val="clear" w:color="auto" w:fill="ffffff"/>
          <w:lang w:eastAsia="zh-CN"/>
        </w:rPr>
      </w:pPr>
      <w:r>
        <w:rPr>
          <w:rStyle w:val="647"/>
          <w:rFonts w:hint="eastAsia" w:ascii="Segoe UI" w:hAnsi="Segoe UI" w:eastAsia="宋体" w:cs="Segoe UI"/>
          <w:b/>
          <w:bCs/>
          <w:i w:val="0"/>
          <w:iCs w:val="0"/>
          <w:caps w:val="0"/>
          <w:color w:val="0f1115"/>
          <w:spacing w:val="0"/>
          <w:sz w:val="24"/>
          <w:szCs w:val="24"/>
          <w:shd w:val="clear" w:color="auto" w:fill="ffffff"/>
          <w:lang w:val="en-US" w:eastAsia="zh-CN"/>
        </w:rPr>
        <w:t xml:space="preserve">13.8</w:t>
      </w:r>
      <w:r>
        <w:rPr>
          <w:rStyle w:val="647"/>
          <w:rFonts w:ascii="Segoe UI" w:hAnsi="Segoe UI" w:eastAsia="Segoe UI" w:cs="Segoe UI"/>
          <w:b/>
          <w:bCs/>
          <w:i w:val="0"/>
          <w:iCs w:val="0"/>
          <w:caps w:val="0"/>
          <w:color w:val="0f1115"/>
          <w:spacing w:val="0"/>
          <w:sz w:val="24"/>
          <w:szCs w:val="24"/>
          <w:shd w:val="clear" w:color="auto" w:fill="ffffff"/>
        </w:rPr>
        <w:t xml:space="preserve">应急预案完备性</w:t>
      </w:r>
      <w:r>
        <w:rPr>
          <w:rStyle w:val="647"/>
          <w:rFonts w:hint="eastAsia" w:ascii="Segoe UI" w:hAnsi="Segoe UI" w:eastAsia="宋体" w:cs="Segoe UI"/>
          <w:b/>
          <w:bCs/>
          <w:i w:val="0"/>
          <w:iCs w:val="0"/>
          <w:caps w:val="0"/>
          <w:color w:val="0f1115"/>
          <w:spacing w:val="0"/>
          <w:sz w:val="24"/>
          <w:szCs w:val="24"/>
          <w:shd w:val="clear" w:color="auto" w:fill="ffffff"/>
          <w:lang w:val="en-US" w:eastAsia="zh-CN"/>
        </w:rPr>
        <w:t xml:space="preserve">:</w:t>
      </w:r>
      <w:r>
        <w:rPr>
          <w:rFonts w:ascii="Segoe UI" w:hAnsi="Segoe UI" w:eastAsia="Segoe UI" w:cs="Segoe UI"/>
          <w:b w:val="0"/>
          <w:bCs w:val="0"/>
          <w:i w:val="0"/>
          <w:iCs w:val="0"/>
          <w:caps w:val="0"/>
          <w:color w:val="0f1115"/>
          <w:spacing w:val="0"/>
          <w:sz w:val="24"/>
          <w:szCs w:val="24"/>
          <w:shd w:val="clear" w:color="auto" w:fill="ffffff"/>
        </w:rPr>
        <w:t xml:space="preserve">系统上线前，乙方须向甲方提交详尽的《系统应急处理预案》，并经甲方审核认可。预案缺失或内容严重不符合要求的，甲方可暂缓验收，并扣除</w:t>
      </w:r>
      <w:r>
        <w:rPr>
          <w:rFonts w:hint="default" w:ascii="Segoe UI" w:hAnsi="Segoe UI" w:eastAsia="Segoe UI" w:cs="Segoe UI"/>
          <w:b w:val="0"/>
          <w:bCs w:val="0"/>
          <w:i w:val="0"/>
          <w:iCs w:val="0"/>
          <w:caps w:val="0"/>
          <w:color w:val="0f1115"/>
          <w:spacing w:val="0"/>
          <w:sz w:val="24"/>
          <w:szCs w:val="24"/>
          <w:shd w:val="clear" w:color="auto" w:fill="ffffff"/>
        </w:rPr>
        <w:t xml:space="preserve"> </w:t>
      </w:r>
      <w:r>
        <w:rPr>
          <w:rStyle w:val="647"/>
          <w:rFonts w:hint="default" w:ascii="Segoe UI" w:hAnsi="Segoe UI" w:eastAsia="Segoe UI" w:cs="Segoe UI"/>
          <w:b w:val="0"/>
          <w:bCs w:val="0"/>
          <w:i w:val="0"/>
          <w:iCs w:val="0"/>
          <w:caps w:val="0"/>
          <w:color w:val="0f1115"/>
          <w:spacing w:val="0"/>
          <w:sz w:val="24"/>
          <w:szCs w:val="24"/>
          <w:shd w:val="clear" w:color="auto" w:fill="ffffff"/>
        </w:rPr>
        <w:t xml:space="preserve">5,000元</w:t>
      </w:r>
      <w:r>
        <w:rPr>
          <w:rFonts w:hint="default" w:ascii="Segoe UI" w:hAnsi="Segoe UI" w:eastAsia="Segoe UI" w:cs="Segoe UI"/>
          <w:b w:val="0"/>
          <w:bCs w:val="0"/>
          <w:i w:val="0"/>
          <w:iCs w:val="0"/>
          <w:caps w:val="0"/>
          <w:color w:val="0f1115"/>
          <w:spacing w:val="0"/>
          <w:sz w:val="24"/>
          <w:szCs w:val="24"/>
          <w:shd w:val="clear" w:color="auto" w:fill="ffffff"/>
        </w:rPr>
        <w:t xml:space="preserve">，直至乙方提交合格预案</w:t>
      </w:r>
      <w:r>
        <w:rPr>
          <w:rFonts w:hint="eastAsia" w:ascii="Segoe UI" w:hAnsi="Segoe UI" w:eastAsia="宋体" w:cs="Segoe UI"/>
          <w:b w:val="0"/>
          <w:bCs w:val="0"/>
          <w:i w:val="0"/>
          <w:iCs w:val="0"/>
          <w:caps w:val="0"/>
          <w:color w:val="0f1115"/>
          <w:spacing w:val="0"/>
          <w:sz w:val="24"/>
          <w:szCs w:val="24"/>
          <w:shd w:val="clear" w:color="auto" w:fill="ffffff"/>
          <w:lang w:eastAsia="zh-CN"/>
        </w:rPr>
        <w:t xml:space="preserve">。</w:t>
      </w:r>
      <w:r/>
    </w:p>
    <w:p>
      <w:pPr>
        <w:pStyle w:val="634"/>
        <w:ind w:firstLine="482"/>
        <w:keepLines w:val="0"/>
        <w:keepNext w:val="0"/>
        <w:pageBreakBefore w:val="0"/>
        <w:spacing w:beforeAutospacing="0" w:afterAutospacing="0" w:line="500" w:lineRule="exact"/>
        <w:rPr>
          <w:rStyle w:val="647"/>
          <w:rFonts w:hint="eastAsia" w:ascii="Segoe UI" w:hAnsi="Segoe UI" w:eastAsia="宋体" w:cs="Segoe UI"/>
          <w:b w:val="0"/>
          <w:bCs w:val="0"/>
          <w:i w:val="0"/>
          <w:iCs w:val="0"/>
          <w:caps w:val="0"/>
          <w:color w:val="0f1115"/>
          <w:spacing w:val="0"/>
          <w:sz w:val="24"/>
          <w:szCs w:val="24"/>
          <w:shd w:val="clear" w:color="auto" w:fill="ffffff"/>
          <w:lang w:eastAsia="zh-CN"/>
        </w:rPr>
      </w:pPr>
      <w:r>
        <w:rPr>
          <w:rFonts w:hint="eastAsia" w:ascii="Segoe UI" w:hAnsi="Segoe UI" w:eastAsia="宋体" w:cs="Segoe UI"/>
          <w:b/>
          <w:bCs/>
          <w:i w:val="0"/>
          <w:iCs w:val="0"/>
          <w:caps w:val="0"/>
          <w:color w:val="0f1115"/>
          <w:spacing w:val="0"/>
          <w:sz w:val="24"/>
          <w:szCs w:val="24"/>
          <w:shd w:val="clear" w:color="auto" w:fill="ffffff"/>
          <w:lang w:val="en-US" w:eastAsia="zh-CN"/>
        </w:rPr>
        <w:t xml:space="preserve">13.9</w:t>
      </w:r>
      <w:r>
        <w:rPr>
          <w:rStyle w:val="647"/>
          <w:rFonts w:ascii="Segoe UI" w:hAnsi="Segoe UI" w:eastAsia="Segoe UI" w:cs="Segoe UI"/>
          <w:b/>
          <w:bCs/>
          <w:i w:val="0"/>
          <w:iCs w:val="0"/>
          <w:caps w:val="0"/>
          <w:color w:val="0f1115"/>
          <w:spacing w:val="0"/>
          <w:sz w:val="24"/>
          <w:szCs w:val="24"/>
          <w:shd w:val="clear" w:color="auto" w:fill="ffffff"/>
        </w:rPr>
        <w:t xml:space="preserve">服务热线与响应</w:t>
      </w:r>
      <w:r>
        <w:rPr>
          <w:rStyle w:val="647"/>
          <w:rFonts w:hint="eastAsia" w:ascii="Segoe UI" w:hAnsi="Segoe UI" w:eastAsia="宋体" w:cs="Segoe UI"/>
          <w:b/>
          <w:bCs/>
          <w:i w:val="0"/>
          <w:iCs w:val="0"/>
          <w:caps w:val="0"/>
          <w:color w:val="0f1115"/>
          <w:spacing w:val="0"/>
          <w:sz w:val="24"/>
          <w:szCs w:val="24"/>
          <w:shd w:val="clear" w:color="auto" w:fill="ffffff"/>
          <w:lang w:val="en-US" w:eastAsia="zh-CN"/>
        </w:rPr>
        <w:t xml:space="preserve">:</w:t>
      </w:r>
      <w:r>
        <w:rPr>
          <w:rFonts w:ascii="Segoe UI" w:hAnsi="Segoe UI" w:eastAsia="Segoe UI" w:cs="Segoe UI"/>
          <w:b w:val="0"/>
          <w:bCs/>
          <w:i w:val="0"/>
          <w:iCs w:val="0"/>
          <w:caps w:val="0"/>
          <w:color w:val="0f1115"/>
          <w:spacing w:val="0"/>
          <w:sz w:val="24"/>
          <w:szCs w:val="24"/>
          <w:shd w:val="clear" w:color="auto" w:fill="ffffff"/>
        </w:rPr>
        <w:t xml:space="preserve">在系统上线及免费维保期间，乙方须确保提供7*24小时专人值守的热线电话，并保障所有相关技术人员手机通讯畅通，用于接听并处理甲方的服务请求。乙方应及时解决问题并完整记录事件处理结果。若出现热线及手机频繁无法接通的情况，甲方有权按每次5000元扣款；若超过24小时未能响应甲方正式提出的服务需求，则每次扣除10000元</w:t>
      </w:r>
      <w:r>
        <w:rPr>
          <w:rStyle w:val="647"/>
          <w:rFonts w:hint="eastAsia" w:ascii="Segoe UI" w:hAnsi="Segoe UI" w:eastAsia="宋体" w:cs="Segoe UI"/>
          <w:b w:val="0"/>
          <w:bCs/>
          <w:i w:val="0"/>
          <w:iCs w:val="0"/>
          <w:caps w:val="0"/>
          <w:color w:val="0f1115"/>
          <w:spacing w:val="0"/>
          <w:sz w:val="24"/>
          <w:szCs w:val="24"/>
          <w:shd w:val="clear" w:color="auto" w:fill="ffffff"/>
          <w:lang w:eastAsia="zh-CN"/>
        </w:rPr>
        <w:t xml:space="preserve">。</w:t>
      </w:r>
      <w:r/>
    </w:p>
    <w:p>
      <w:pPr>
        <w:pStyle w:val="638"/>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条  不可抗力</w:t>
      </w:r>
      <w:r/>
    </w:p>
    <w:p>
      <w:pPr>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4</w:t>
      </w:r>
      <w:r>
        <w:rPr>
          <w:rFonts w:hint="eastAsia" w:ascii="宋体" w:hAnsi="宋体" w:eastAsia="宋体" w:cs="宋体"/>
          <w:sz w:val="24"/>
        </w:rPr>
        <w:t xml:space="preserve">.1签约双方任一方由于受诸如战争、严重火灾、洪水、台风、地震等不可抗力事故的影响而不能执行合同时，履行合同的期限应予以延长，延长的期限应相当于事故所影响的时间。</w:t>
      </w:r>
      <w:r/>
    </w:p>
    <w:p>
      <w:pPr>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4</w:t>
      </w:r>
      <w:r>
        <w:rPr>
          <w:rFonts w:hint="eastAsia" w:ascii="宋体" w:hAnsi="宋体" w:eastAsia="宋体" w:cs="宋体"/>
          <w:sz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pStyle w:val="638"/>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条  违约终止合同</w:t>
      </w:r>
      <w:r/>
    </w:p>
    <w:p>
      <w:pPr>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rPr>
        <w:t xml:space="preserve">.1违约责任（有下列情况之一的，甲方有权终止协议）</w:t>
      </w:r>
      <w:r/>
    </w:p>
    <w:p>
      <w:pPr>
        <w:ind w:firstLine="480"/>
        <w:spacing w:line="500" w:lineRule="exact"/>
        <w:rPr>
          <w:rFonts w:ascii="宋体" w:hAnsi="宋体" w:eastAsia="宋体" w:cs="宋体"/>
          <w:sz w:val="24"/>
        </w:rPr>
      </w:pPr>
      <w:r>
        <w:rPr>
          <w:rFonts w:hint="eastAsia" w:ascii="宋体" w:hAnsi="宋体" w:eastAsia="宋体" w:cs="宋体"/>
          <w:sz w:val="24"/>
          <w:lang w:val="en-US" w:eastAsia="zh-CN"/>
        </w:rPr>
        <w:t xml:space="preserve">15</w:t>
      </w:r>
      <w:r>
        <w:rPr>
          <w:rFonts w:hint="eastAsia" w:ascii="宋体" w:hAnsi="宋体" w:eastAsia="宋体" w:cs="宋体"/>
          <w:sz w:val="24"/>
        </w:rPr>
        <w:t xml:space="preserve">.1.1乙方违反从业道德，影响甲方声誉或投诉查实的。</w:t>
      </w:r>
      <w:r/>
    </w:p>
    <w:p>
      <w:pPr>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rPr>
        <w:t xml:space="preserve">.1.2甲方对乙方完成任务情况进行质量评估，结果不合格的。</w:t>
      </w:r>
      <w:r/>
    </w:p>
    <w:p>
      <w:pPr>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rPr>
        <w:t xml:space="preserve">.1.3若遇市以上党政部门政策调整，甲方有权根据政策需要终止或调整合同。</w:t>
      </w:r>
      <w:r/>
    </w:p>
    <w:p>
      <w:pPr>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rPr>
        <w:t xml:space="preserve">.2因解除而终止</w:t>
      </w:r>
      <w:r/>
    </w:p>
    <w:p>
      <w:pPr>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rPr>
        <w:t xml:space="preserve">.2.3合同一方依本合同约定行使解除权的，合同自解除通知送达另一方之日起终止。违约方应当按本合同约定支付违约金或赔偿损失。</w:t>
      </w:r>
      <w:r/>
    </w:p>
    <w:p>
      <w:pPr>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rPr>
        <w:t xml:space="preserve">.2.4合同终止后，不妨碍守约方向违约方追究违约责任。</w:t>
      </w:r>
      <w:bookmarkEnd w:id="197"/>
      <w:r/>
    </w:p>
    <w:p>
      <w:pPr>
        <w:pStyle w:val="643"/>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十六</w:t>
      </w:r>
      <w:r>
        <w:rPr>
          <w:rFonts w:hint="eastAsia" w:ascii="宋体" w:hAnsi="宋体" w:eastAsia="宋体" w:cs="宋体"/>
          <w:b/>
          <w:bCs/>
          <w:sz w:val="24"/>
          <w:szCs w:val="24"/>
        </w:rPr>
        <w:t xml:space="preserve">条  </w:t>
      </w:r>
      <w:r>
        <w:rPr>
          <w:rFonts w:hint="eastAsia" w:ascii="宋体" w:hAnsi="宋体" w:eastAsia="宋体" w:cs="宋体"/>
          <w:b/>
          <w:color w:val="000000"/>
          <w:sz w:val="24"/>
          <w:szCs w:val="24"/>
          <w:highlight w:val="none"/>
        </w:rPr>
        <w:t xml:space="preserve">解决争议的方法</w:t>
      </w:r>
      <w:r/>
    </w:p>
    <w:p>
      <w:pPr>
        <w:pStyle w:val="643"/>
        <w:ind w:firstLine="480"/>
        <w:jc w:val="both"/>
        <w:keepLines w:val="0"/>
        <w:keepNext w:val="0"/>
        <w:pageBreakBefore w:val="0"/>
        <w:spacing w:before="120" w:beforeAutospacing="0" w:after="120" w:afterAutospacing="0" w:line="500" w:lineRule="exact"/>
        <w:widowControl w:val="off"/>
        <w:rPr>
          <w:rFonts w:ascii="宋体" w:hAnsi="宋体" w:eastAsia="宋体" w:cs="宋体"/>
          <w:sz w:val="24"/>
        </w:rPr>
      </w:pPr>
      <w:r>
        <w:rPr>
          <w:rFonts w:hint="eastAsia" w:ascii="宋体" w:hAnsi="宋体" w:eastAsia="宋体" w:cs="宋体"/>
          <w:color w:val="000000"/>
          <w:sz w:val="24"/>
          <w:szCs w:val="24"/>
          <w:highlight w:val="none"/>
        </w:rPr>
        <w:t xml:space="preserve">双方在签订、履行合同中所发生的一切争议，应通过友好协商解决。如协商不成，由甲方住所地人民法院管辖。</w:t>
      </w:r>
      <w:r/>
    </w:p>
    <w:p>
      <w:pPr>
        <w:pStyle w:val="643"/>
        <w:ind w:firstLine="482"/>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第</w:t>
      </w:r>
      <w:r>
        <w:rPr>
          <w:rFonts w:hint="eastAsia" w:ascii="宋体" w:hAnsi="宋体" w:eastAsia="宋体" w:cs="宋体"/>
          <w:b/>
          <w:color w:val="000000"/>
          <w:lang w:val="en-US" w:eastAsia="zh-CN"/>
        </w:rPr>
        <w:t xml:space="preserve">十七</w:t>
      </w:r>
      <w:r>
        <w:rPr>
          <w:rFonts w:hint="eastAsia" w:ascii="宋体" w:hAnsi="宋体" w:eastAsia="宋体" w:cs="宋体"/>
          <w:b/>
          <w:color w:val="000000"/>
        </w:rPr>
        <w:t xml:space="preserve">条  合同生效及其它</w:t>
      </w:r>
      <w:r/>
    </w:p>
    <w:p>
      <w:pPr>
        <w:ind w:firstLine="480"/>
        <w:spacing w:line="500" w:lineRule="exact"/>
        <w:rPr>
          <w:rFonts w:ascii="宋体" w:hAnsi="宋体" w:eastAsia="宋体" w:cs="宋体"/>
          <w:sz w:val="24"/>
        </w:rPr>
      </w:pPr>
      <w:r>
        <w:rPr>
          <w:rFonts w:hint="eastAsia" w:ascii="宋体" w:hAnsi="宋体" w:eastAsia="宋体" w:cs="宋体"/>
          <w:sz w:val="24"/>
          <w:lang w:val="en-US" w:eastAsia="zh-CN"/>
        </w:rPr>
        <w:t xml:space="preserve">17</w:t>
      </w:r>
      <w:r>
        <w:rPr>
          <w:rFonts w:hint="eastAsia" w:ascii="宋体" w:hAnsi="宋体" w:eastAsia="宋体" w:cs="宋体"/>
          <w:sz w:val="24"/>
        </w:rPr>
        <w:t xml:space="preserve">.1合同经双方法定代表人或授权委托代表人签字并加盖单位公章后生效。</w:t>
      </w:r>
      <w:r/>
    </w:p>
    <w:p>
      <w:pPr>
        <w:ind w:firstLine="480"/>
        <w:spacing w:line="500" w:lineRule="exact"/>
        <w:rPr>
          <w:rFonts w:hint="eastAsia" w:ascii="宋体" w:hAnsi="宋体" w:eastAsia="宋体" w:cs="宋体"/>
          <w:sz w:val="24"/>
        </w:rPr>
      </w:pPr>
      <w:r>
        <w:rPr>
          <w:rFonts w:hint="eastAsia" w:ascii="宋体" w:hAnsi="宋体" w:eastAsia="宋体" w:cs="宋体"/>
          <w:sz w:val="24"/>
          <w:lang w:val="en-US" w:eastAsia="zh-CN"/>
        </w:rPr>
        <w:t xml:space="preserve">17</w:t>
      </w: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本合同未尽事宜，遵照《民法典》、《政府采购法》有关条文执行。</w:t>
      </w:r>
      <w:r/>
    </w:p>
    <w:p>
      <w:pPr>
        <w:ind w:firstLine="48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17.3甲方需追加与合同标的相同的服务（包含与服务相关的货物），在不改变合同其他条款的前提下，可以与乙方签订补充合同，补充合同的采购金额不得超过原合同金额10%。</w:t>
      </w:r>
      <w:r/>
    </w:p>
    <w:p>
      <w:pPr>
        <w:ind w:firstLine="480"/>
        <w:spacing w:line="50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17.4 乙方在系统维保期满后，应向甲方继续提供维保服务，年维保服务费用不超过本合同中标金额的5%。</w:t>
      </w:r>
      <w:r/>
    </w:p>
    <w:p>
      <w:pPr>
        <w:ind w:firstLine="48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17.5本合同正本一式五份，具有同等法律效力，甲方、乙方各执二份、交易中心执一份。</w:t>
      </w:r>
      <w:r/>
    </w:p>
    <w:p>
      <w:pPr>
        <w:pStyle w:val="643"/>
        <w:jc w:val="both"/>
        <w:spacing w:before="156" w:beforeAutospacing="0" w:after="156" w:afterAutospacing="0" w:line="400" w:lineRule="exact"/>
        <w:rPr>
          <w:rFonts w:ascii="宋体" w:hAnsi="宋体" w:eastAsia="宋体" w:cs="宋体"/>
          <w:color w:val="000000"/>
        </w:rPr>
      </w:pPr>
      <w:r>
        <w:rPr>
          <w:rFonts w:ascii="宋体" w:hAnsi="宋体" w:eastAsia="宋体" w:cs="宋体"/>
          <w:color w:val="000000"/>
        </w:rPr>
      </w:r>
      <w:r/>
    </w:p>
    <w:p>
      <w:pPr>
        <w:pStyle w:val="643"/>
        <w:jc w:val="both"/>
        <w:spacing w:before="156" w:beforeAutospacing="0" w:after="156" w:afterAutospacing="0" w:line="400" w:lineRule="exact"/>
      </w:pPr>
      <w:r>
        <w:rPr>
          <w:rFonts w:hint="eastAsia" w:ascii="宋体" w:hAnsi="宋体" w:eastAsia="宋体" w:cs="宋体"/>
          <w:color w:val="000000"/>
        </w:rPr>
        <w:t xml:space="preserve">甲方：               乙方： </w:t>
      </w:r>
      <w:r/>
    </w:p>
    <w:p>
      <w:pPr>
        <w:pStyle w:val="643"/>
        <w:jc w:val="both"/>
        <w:spacing w:before="156" w:beforeAutospacing="0" w:after="156" w:afterAutospacing="0" w:line="400" w:lineRule="exact"/>
      </w:pPr>
      <w:r>
        <w:rPr>
          <w:rFonts w:hint="eastAsia" w:ascii="宋体" w:hAnsi="宋体" w:eastAsia="宋体" w:cs="宋体"/>
          <w:color w:val="000000"/>
        </w:rPr>
        <w:t xml:space="preserve">地址：               地址： </w:t>
      </w:r>
      <w:r/>
    </w:p>
    <w:p>
      <w:pPr>
        <w:pStyle w:val="643"/>
        <w:jc w:val="both"/>
        <w:spacing w:before="156" w:beforeAutospacing="0" w:after="156" w:afterAutospacing="0" w:line="400" w:lineRule="exact"/>
      </w:pPr>
      <w:r>
        <w:rPr>
          <w:rFonts w:hint="eastAsia" w:ascii="宋体" w:hAnsi="宋体" w:eastAsia="宋体" w:cs="宋体"/>
          <w:color w:val="000000"/>
        </w:rPr>
        <w:t xml:space="preserve">法定代表人或授权代表：       法定代表人或授权代表：</w:t>
      </w:r>
      <w:r/>
    </w:p>
    <w:p>
      <w:pPr>
        <w:pStyle w:val="643"/>
        <w:jc w:val="both"/>
        <w:spacing w:before="156" w:beforeAutospacing="0" w:after="156" w:afterAutospacing="0" w:line="400" w:lineRule="exact"/>
        <w:rPr>
          <w:rFonts w:ascii="宋体" w:hAnsi="宋体" w:eastAsia="宋体" w:cs="宋体"/>
          <w:color w:val="000000"/>
        </w:rPr>
      </w:pPr>
      <w:r>
        <w:rPr>
          <w:rFonts w:hint="eastAsia" w:ascii="宋体" w:hAnsi="宋体" w:eastAsia="宋体" w:cs="宋体"/>
          <w:color w:val="000000"/>
        </w:rPr>
        <w:t xml:space="preserve">联系电话：             联系电话：          </w:t>
      </w:r>
      <w:r/>
    </w:p>
    <w:p>
      <w:pPr>
        <w:pStyle w:val="643"/>
        <w:ind w:firstLine="4320"/>
        <w:jc w:val="both"/>
        <w:spacing w:before="156" w:beforeAutospacing="0" w:after="156" w:afterAutospacing="0" w:line="400" w:lineRule="exact"/>
      </w:pPr>
      <w:r>
        <w:rPr>
          <w:rFonts w:hint="eastAsia" w:ascii="宋体" w:hAnsi="宋体" w:eastAsia="宋体" w:cs="宋体"/>
          <w:color w:val="000000"/>
        </w:rPr>
        <w:t xml:space="preserve">签订日期：   年 月 日</w:t>
      </w:r>
      <w:r/>
    </w:p>
    <w:p>
      <w:pPr>
        <w:jc w:val="left"/>
        <w:spacing w:line="500" w:lineRule="exact"/>
        <w:rPr>
          <w:rFonts w:ascii="宋体" w:hAnsi="宋体" w:eastAsia="宋体" w:cs="宋体"/>
          <w:sz w:val="24"/>
        </w:rPr>
      </w:pPr>
      <w:r>
        <w:rPr>
          <w:u w:val="single"/>
        </w:rPr>
        <w:br w:type="page" w:clear="all"/>
      </w:r>
      <w:bookmarkStart w:id="198" w:name="_Toc20313"/>
      <w:r/>
      <w:bookmarkEnd w:id="198"/>
      <w:r/>
    </w:p>
    <w:p>
      <w:pPr>
        <w:pStyle w:val="643"/>
        <w:jc w:val="center"/>
        <w:spacing w:before="120" w:beforeAutospacing="0" w:after="120" w:afterAutospacing="0" w:line="0" w:lineRule="atLeast"/>
      </w:pPr>
      <w:r>
        <w:rPr>
          <w:rFonts w:hint="eastAsia" w:ascii="黑体" w:hAnsi="宋体" w:eastAsia="黑体" w:cs="黑体"/>
          <w:sz w:val="44"/>
          <w:szCs w:val="44"/>
        </w:rPr>
        <w:t xml:space="preserve"> 第</w:t>
      </w:r>
      <w:bookmarkEnd w:id="187"/>
      <w:r>
        <w:rPr>
          <w:rFonts w:hint="eastAsia" w:ascii="黑体" w:hAnsi="宋体" w:eastAsia="黑体" w:cs="黑体"/>
          <w:sz w:val="44"/>
          <w:szCs w:val="44"/>
        </w:rPr>
        <w:t xml:space="preserve">四章 采购需求</w:t>
      </w:r>
      <w:bookmarkEnd w:id="188"/>
      <w:r/>
      <w:bookmarkEnd w:id="189"/>
      <w:r/>
      <w:bookmarkEnd w:id="190"/>
      <w:r/>
      <w:bookmarkEnd w:id="191"/>
      <w:r/>
      <w:bookmarkEnd w:id="192"/>
      <w:r/>
      <w:r/>
    </w:p>
    <w:p>
      <w:pPr>
        <w:pStyle w:val="643"/>
        <w:ind w:firstLine="480"/>
        <w:jc w:val="both"/>
        <w:pageBreakBefore w:val="0"/>
        <w:spacing w:beforeAutospacing="0" w:afterAutospacing="0" w:line="360" w:lineRule="auto"/>
        <w:widowControl w:val="off"/>
        <w:rPr>
          <w:rFonts w:hint="eastAsia" w:asciiTheme="minorEastAsia" w:hAnsiTheme="minorEastAsia" w:eastAsiaTheme="minorEastAsia" w:cstheme="minorEastAsia"/>
          <w:color w:val="000000"/>
          <w:sz w:val="24"/>
          <w:szCs w:val="24"/>
        </w:rPr>
      </w:pPr>
      <w:r/>
      <w:bookmarkStart w:id="199" w:name="_Toc26554093"/>
      <w:r/>
      <w:bookmarkStart w:id="200" w:name="_Toc49090575"/>
      <w:r/>
      <w:bookmarkStart w:id="201" w:name="_Toc120614281"/>
      <w:r>
        <w:rPr>
          <w:rFonts w:hint="eastAsia" w:asciiTheme="minorEastAsia" w:hAnsiTheme="minorEastAsia" w:eastAsiaTheme="minorEastAsia" w:cstheme="minorEastAsia"/>
          <w:color w:val="000000"/>
          <w:sz w:val="24"/>
          <w:szCs w:val="24"/>
        </w:rPr>
        <w:t xml:space="preserve">项目</w:t>
      </w:r>
      <w:r>
        <w:rPr>
          <w:rFonts w:hint="eastAsia" w:asciiTheme="minorEastAsia" w:hAnsiTheme="minorEastAsia" w:eastAsiaTheme="minorEastAsia" w:cstheme="minorEastAsia"/>
          <w:sz w:val="24"/>
          <w:szCs w:val="24"/>
        </w:rPr>
        <w:t xml:space="preserve">属性:</w:t>
      </w:r>
      <w:r>
        <w:rPr>
          <w:rFonts w:hint="eastAsia" w:asciiTheme="minorEastAsia" w:hAnsiTheme="minorEastAsia" w:cstheme="minorEastAsia"/>
          <w:sz w:val="24"/>
          <w:szCs w:val="24"/>
          <w:lang w:val="en-US" w:eastAsia="zh-CN"/>
        </w:rPr>
        <w:t xml:space="preserve">货物</w:t>
      </w:r>
      <w:r>
        <w:rPr>
          <w:rFonts w:hint="eastAsia" w:asciiTheme="minorEastAsia" w:hAnsiTheme="minorEastAsia" w:eastAsiaTheme="minorEastAsia" w:cstheme="minorEastAsia"/>
          <w:sz w:val="24"/>
          <w:szCs w:val="24"/>
        </w:rPr>
        <w:t xml:space="preserve">类项目。</w:t>
      </w:r>
      <w:bookmarkEnd w:id="199"/>
      <w:r/>
      <w:bookmarkEnd w:id="200"/>
      <w:r/>
      <w:r/>
    </w:p>
    <w:p>
      <w:pPr>
        <w:pStyle w:val="628"/>
        <w:ind w:firstLine="480"/>
        <w:pageBreakBefore w:val="0"/>
        <w:spacing w:before="0" w:beforeAutospacing="0" w:after="0" w:afterAutospacing="0" w:line="360" w:lineRule="auto"/>
        <w:widowControl w:val="off"/>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sz w:val="24"/>
          <w:szCs w:val="24"/>
        </w:rPr>
        <w:t xml:space="preserve">一、项目建设背景</w:t>
      </w:r>
      <w:r/>
    </w:p>
    <w:p>
      <w:pPr>
        <w:ind w:firstLine="480"/>
        <w:jc w:val="left"/>
        <w:pageBreakBefore w:val="0"/>
        <w:spacing w:beforeAutospacing="0" w:afterAutospacing="0"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近年来，随着医疗体制改革不断深入，政府先后出台了药品的“零差价”供给、“DRG病种付费”等措施，传统的医院经营模式很难延续，对医院综合运营管理提出了更高的要求。通过精细化的成本核算，可以发挥成本核算在医疗服务定价、公立医院成本控制和绩效评价中的作用，提升单位内部管理水平和运营效率，从而推进公立医院高质量发展。</w:t>
      </w:r>
      <w:r/>
    </w:p>
    <w:p>
      <w:pPr>
        <w:ind w:firstLine="480"/>
        <w:jc w:val="left"/>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在我院目前综合运营管理系统的基础上，完善医疗服务项目成本、病种成本、DRG病种成本及成本决策分析系统，满足我院三甲创建要求，并通过成本核算结果的运用，提升科室控成本、控费的积极性和主动性。</w:t>
      </w:r>
      <w:r/>
    </w:p>
    <w:p>
      <w:pPr>
        <w:pStyle w:val="628"/>
        <w:ind w:firstLine="472"/>
        <w:pageBreakBefore w:val="0"/>
        <w:spacing w:before="0" w:beforeAutospacing="0" w:after="0" w:afterAutospacing="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二、项目建设内容</w:t>
      </w:r>
      <w:r/>
    </w:p>
    <w:p>
      <w:pPr>
        <w:pStyle w:val="630"/>
        <w:numPr>
          <w:ilvl w:val="2"/>
          <w:numId w:val="0"/>
        </w:numPr>
        <w:ind w:firstLine="482"/>
        <w:spacing w:before="0" w:after="0" w:line="500" w:lineRule="exact"/>
        <w:rPr>
          <w:rFonts w:hint="eastAsia" w:ascii="宋体" w:hAnsi="宋体" w:cs="微软雅黑"/>
          <w:color w:val="auto"/>
          <w:sz w:val="24"/>
          <w:szCs w:val="24"/>
        </w:rPr>
      </w:pPr>
      <w:r>
        <w:rPr>
          <w:rFonts w:hint="eastAsia" w:ascii="宋体" w:hAnsi="宋体" w:cs="微软雅黑"/>
          <w:color w:val="auto"/>
          <w:sz w:val="24"/>
          <w:szCs w:val="24"/>
        </w:rPr>
        <w:t xml:space="preserve">一、产品模块</w:t>
      </w:r>
      <w:r/>
    </w:p>
    <w:tbl>
      <w:tblPr>
        <w:tblStyle w:val="6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33"/>
        <w:gridCol w:w="4989"/>
      </w:tblGrid>
      <w:tr>
        <w:trPr>
          <w:jc w:val="center"/>
          <w:trHeight w:val="315"/>
        </w:trPr>
        <w:tc>
          <w:tcPr>
            <w:shd w:val="clear" w:color="000000" w:fill="bfbfbf"/>
            <w:tcW w:w="2073" w:type="pct"/>
            <w:vAlign w:val="center"/>
            <w:textDirection w:val="lrTb"/>
            <w:noWrap/>
          </w:tcPr>
          <w:p>
            <w:pPr>
              <w:jc w:val="center"/>
              <w:widowControl/>
              <w:rPr>
                <w:rFonts w:hint="eastAsia" w:ascii="宋体" w:hAnsi="宋体" w:cs="微软雅黑"/>
                <w:b/>
                <w:bCs/>
                <w:color w:val="auto"/>
                <w:sz w:val="24"/>
                <w:szCs w:val="24"/>
              </w:rPr>
            </w:pPr>
            <w:r>
              <w:rPr>
                <w:rFonts w:hint="eastAsia" w:ascii="宋体" w:hAnsi="宋体" w:cs="微软雅黑"/>
                <w:b/>
                <w:bCs/>
                <w:color w:val="auto"/>
                <w:sz w:val="24"/>
                <w:szCs w:val="24"/>
              </w:rPr>
              <w:t xml:space="preserve">产品领域</w:t>
            </w:r>
            <w:r/>
          </w:p>
        </w:tc>
        <w:tc>
          <w:tcPr>
            <w:shd w:val="clear" w:color="000000" w:fill="bfbfbf"/>
            <w:tcW w:w="2927" w:type="pct"/>
            <w:vAlign w:val="center"/>
            <w:textDirection w:val="lrTb"/>
            <w:noWrap/>
          </w:tcPr>
          <w:p>
            <w:pPr>
              <w:jc w:val="center"/>
              <w:widowControl/>
              <w:rPr>
                <w:rFonts w:hint="eastAsia" w:ascii="宋体" w:hAnsi="宋体" w:cs="微软雅黑"/>
                <w:b/>
                <w:bCs/>
                <w:color w:val="auto"/>
                <w:sz w:val="24"/>
                <w:szCs w:val="24"/>
              </w:rPr>
            </w:pPr>
            <w:r>
              <w:rPr>
                <w:rFonts w:hint="eastAsia" w:ascii="宋体" w:hAnsi="宋体" w:cs="微软雅黑"/>
                <w:b/>
                <w:bCs/>
                <w:color w:val="auto"/>
                <w:sz w:val="24"/>
                <w:szCs w:val="24"/>
              </w:rPr>
              <w:t xml:space="preserve">模块名称</w:t>
            </w:r>
            <w:r/>
          </w:p>
        </w:tc>
      </w:tr>
      <w:tr>
        <w:trPr>
          <w:jc w:val="center"/>
          <w:trHeight w:val="300"/>
        </w:trPr>
        <w:tc>
          <w:tcPr>
            <w:tcW w:w="2073" w:type="pct"/>
            <w:vAlign w:val="center"/>
            <w:vMerge w:val="restart"/>
            <w:textDirection w:val="lrTb"/>
            <w:noWrap/>
          </w:tcPr>
          <w:p>
            <w:pPr>
              <w:jc w:val="center"/>
              <w:widowControl/>
              <w:rPr>
                <w:rFonts w:hint="eastAsia" w:ascii="宋体" w:hAnsi="宋体" w:cs="微软雅黑"/>
                <w:color w:val="auto"/>
                <w:sz w:val="22"/>
              </w:rPr>
            </w:pPr>
            <w:r>
              <w:rPr>
                <w:rFonts w:hint="eastAsia" w:ascii="宋体" w:hAnsi="宋体" w:cs="微软雅黑"/>
                <w:color w:val="auto"/>
                <w:sz w:val="22"/>
              </w:rPr>
              <w:t xml:space="preserve">成本管理</w:t>
            </w:r>
            <w:r/>
          </w:p>
        </w:tc>
        <w:tc>
          <w:tcPr>
            <w:tcW w:w="2927" w:type="pct"/>
            <w:vAlign w:val="center"/>
            <w:textDirection w:val="lrTb"/>
            <w:noWrap/>
          </w:tcPr>
          <w:p>
            <w:pPr>
              <w:jc w:val="left"/>
              <w:widowControl/>
              <w:rPr>
                <w:rFonts w:hint="eastAsia" w:ascii="宋体" w:hAnsi="宋体" w:cs="微软雅黑"/>
                <w:color w:val="auto"/>
                <w:sz w:val="22"/>
              </w:rPr>
            </w:pPr>
            <w:r>
              <w:rPr>
                <w:rFonts w:hint="eastAsia" w:ascii="宋体" w:hAnsi="宋体" w:cs="微软雅黑"/>
                <w:color w:val="auto"/>
                <w:sz w:val="22"/>
              </w:rPr>
              <w:t xml:space="preserve">项目成本管理</w:t>
            </w:r>
            <w:r/>
          </w:p>
        </w:tc>
      </w:tr>
      <w:tr>
        <w:trPr>
          <w:jc w:val="center"/>
          <w:trHeight w:val="300"/>
        </w:trPr>
        <w:tc>
          <w:tcPr>
            <w:tcW w:w="2073" w:type="pct"/>
            <w:vAlign w:val="center"/>
            <w:vMerge w:val="continue"/>
            <w:textDirection w:val="lrTb"/>
            <w:noWrap/>
          </w:tcPr>
          <w:p>
            <w:pPr>
              <w:jc w:val="center"/>
              <w:widowControl/>
              <w:rPr>
                <w:rFonts w:hint="eastAsia" w:ascii="宋体" w:hAnsi="宋体" w:cs="微软雅黑"/>
                <w:color w:val="auto"/>
                <w:sz w:val="22"/>
              </w:rPr>
            </w:pPr>
            <w:r>
              <w:rPr>
                <w:rFonts w:hint="eastAsia" w:ascii="宋体" w:hAnsi="宋体" w:cs="微软雅黑"/>
                <w:color w:val="auto"/>
                <w:sz w:val="22"/>
              </w:rPr>
            </w:r>
            <w:r/>
          </w:p>
        </w:tc>
        <w:tc>
          <w:tcPr>
            <w:tcW w:w="2927" w:type="pct"/>
            <w:vAlign w:val="center"/>
            <w:textDirection w:val="lrTb"/>
            <w:noWrap/>
          </w:tcPr>
          <w:p>
            <w:pPr>
              <w:jc w:val="left"/>
              <w:widowControl/>
              <w:rPr>
                <w:rFonts w:hint="eastAsia" w:ascii="宋体" w:hAnsi="宋体" w:cs="微软雅黑"/>
                <w:color w:val="auto"/>
                <w:sz w:val="22"/>
              </w:rPr>
            </w:pPr>
            <w:r>
              <w:rPr>
                <w:rFonts w:hint="eastAsia" w:ascii="宋体" w:hAnsi="宋体" w:cs="微软雅黑"/>
                <w:color w:val="auto"/>
                <w:sz w:val="22"/>
              </w:rPr>
              <w:t xml:space="preserve">病种成本管理</w:t>
            </w:r>
            <w:r/>
          </w:p>
        </w:tc>
      </w:tr>
      <w:tr>
        <w:trPr>
          <w:jc w:val="center"/>
          <w:trHeight w:val="300"/>
        </w:trPr>
        <w:tc>
          <w:tcPr>
            <w:tcW w:w="2073" w:type="pct"/>
            <w:vAlign w:val="center"/>
            <w:vMerge w:val="continue"/>
            <w:textDirection w:val="lrTb"/>
            <w:noWrap/>
          </w:tcPr>
          <w:p>
            <w:pPr>
              <w:jc w:val="center"/>
              <w:widowControl/>
              <w:rPr>
                <w:rFonts w:hint="eastAsia" w:ascii="宋体" w:hAnsi="宋体" w:cs="微软雅黑"/>
                <w:color w:val="auto"/>
                <w:sz w:val="22"/>
              </w:rPr>
            </w:pPr>
            <w:r>
              <w:rPr>
                <w:rFonts w:hint="eastAsia" w:ascii="宋体" w:hAnsi="宋体" w:cs="微软雅黑"/>
                <w:color w:val="auto"/>
                <w:sz w:val="22"/>
              </w:rPr>
            </w:r>
            <w:r/>
          </w:p>
        </w:tc>
        <w:tc>
          <w:tcPr>
            <w:tcW w:w="2927" w:type="pct"/>
            <w:vAlign w:val="center"/>
            <w:textDirection w:val="lrTb"/>
            <w:noWrap/>
          </w:tcPr>
          <w:p>
            <w:pPr>
              <w:jc w:val="left"/>
              <w:widowControl/>
              <w:rPr>
                <w:rFonts w:hint="eastAsia" w:ascii="宋体" w:hAnsi="宋体" w:cs="微软雅黑"/>
                <w:color w:val="auto"/>
                <w:sz w:val="22"/>
              </w:rPr>
            </w:pPr>
            <w:r>
              <w:rPr>
                <w:rFonts w:hint="eastAsia" w:ascii="宋体" w:hAnsi="宋体" w:cs="微软雅黑"/>
                <w:color w:val="auto"/>
                <w:sz w:val="22"/>
              </w:rPr>
              <w:t xml:space="preserve">DRG成本管理</w:t>
            </w:r>
            <w:r/>
          </w:p>
        </w:tc>
      </w:tr>
      <w:tr>
        <w:trPr>
          <w:jc w:val="center"/>
          <w:trHeight w:val="366"/>
        </w:trPr>
        <w:tc>
          <w:tcPr>
            <w:tcW w:w="2073" w:type="pct"/>
            <w:vAlign w:val="center"/>
            <w:vMerge w:val="continue"/>
            <w:textDirection w:val="lrTb"/>
            <w:noWrap/>
          </w:tcPr>
          <w:p>
            <w:pPr>
              <w:jc w:val="center"/>
              <w:widowControl/>
              <w:rPr>
                <w:rFonts w:hint="eastAsia" w:ascii="宋体" w:hAnsi="宋体" w:cs="微软雅黑"/>
                <w:color w:val="auto"/>
                <w:sz w:val="22"/>
              </w:rPr>
            </w:pPr>
            <w:r>
              <w:rPr>
                <w:rFonts w:hint="eastAsia" w:ascii="宋体" w:hAnsi="宋体" w:cs="微软雅黑"/>
                <w:color w:val="auto"/>
                <w:sz w:val="22"/>
              </w:rPr>
            </w:r>
            <w:r/>
          </w:p>
        </w:tc>
        <w:tc>
          <w:tcPr>
            <w:tcW w:w="2927" w:type="pct"/>
            <w:vAlign w:val="center"/>
            <w:textDirection w:val="lrTb"/>
            <w:noWrap/>
          </w:tcPr>
          <w:p>
            <w:pPr>
              <w:jc w:val="left"/>
              <w:widowControl/>
              <w:rPr>
                <w:rFonts w:hint="eastAsia" w:ascii="宋体" w:hAnsi="宋体" w:cs="微软雅黑"/>
                <w:color w:val="auto"/>
                <w:sz w:val="22"/>
              </w:rPr>
            </w:pPr>
            <w:r>
              <w:rPr>
                <w:rFonts w:hint="eastAsia" w:ascii="宋体" w:hAnsi="宋体" w:cs="微软雅黑"/>
                <w:color w:val="auto"/>
                <w:sz w:val="22"/>
              </w:rPr>
              <w:t xml:space="preserve">成本核算战略决策分析</w:t>
            </w:r>
            <w:r/>
          </w:p>
        </w:tc>
      </w:tr>
    </w:tbl>
    <w:p>
      <w:pPr>
        <w:pStyle w:val="630"/>
        <w:numPr>
          <w:ilvl w:val="2"/>
          <w:numId w:val="0"/>
        </w:numPr>
        <w:ind w:left="0" w:firstLine="482"/>
        <w:pageBreakBefore w:val="0"/>
        <w:spacing w:before="0" w:after="0"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二、功能描述</w:t>
      </w:r>
      <w:r/>
    </w:p>
    <w:p>
      <w:pPr>
        <w:pStyle w:val="631"/>
        <w:numPr>
          <w:ilvl w:val="3"/>
          <w:numId w:val="0"/>
        </w:numPr>
        <w:ind w:left="0" w:firstLine="482"/>
        <w:pageBreakBefore w:val="0"/>
        <w:spacing w:before="0" w:after="0"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2.1项目成本管理</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医疗服务项目成本核算是指以各科室开展的医疗服务项目为对象，归集和分配各项费用，计算出各项目医院成本的过程。项目成本核算模块用于处理《公立医院成本核算规范》中要求的医疗服务项目成本的核算。</w:t>
      </w:r>
      <w:r/>
    </w:p>
    <w:p>
      <w:pPr>
        <w:pStyle w:val="643"/>
        <w:ind w:left="0" w:firstLine="480"/>
        <w:jc w:val="both"/>
        <w:pageBreakBefore w:val="0"/>
        <w:spacing w:before="0" w:beforeAutospacing="0" w:after="0" w:afterAutospacing="0"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产品包含但不仅限于以下主要功能：</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1、支持按照一定的成本项目和科室范围获取科室成本核算模块计算结果；</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2、支持内部获取材料明细账、设备折旧明细账、薪资明细账；</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3、支持收入单据的科室调整；</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4、支持成本核算对象的多版本计算；</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5、支持按标准工资率或实际工资率计算直接成本；</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6、支持快速生成收费项目成本档案；</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7、支持对于医疗服务项目使用的设备按组维护其成本档案；</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8、支持科室级别的分摊方法定义，一个科室一个分摊方法、一个科室一个分摊参数，真正做到精细化管理；</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9、支持多种分摊方法包括按总额分摊、按成本项目分摊、按成本分类分摊等；</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10、支持通过成本范围满足《规范》对医院基于不同的用途核算项目成本的需要；</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11、支持对手术类等医疗服务项目核算其外协人工和外协设备的成本；</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12、支持精准的收费项目核算范围设置，使得科室成本仅在指定的目的医疗服务项目中间分摊；</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13、支持内部下载内置的分摊参数；</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14、支持基于已有分摊参数计算自定义的分摊参数；</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15、支持一键式分摊计算验证，支持数据穿透；</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16、支持一键式成本分布验证，支持数据穿透；</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17、支持《公立医院成本核算规范》中的全部制度报表；</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18、</w:t>
      </w:r>
      <w:r>
        <w:rPr>
          <w:rFonts w:hint="eastAsia" w:asciiTheme="minorEastAsia" w:hAnsiTheme="minorEastAsia" w:cstheme="minorEastAsia"/>
          <w:b/>
          <w:bCs/>
          <w:color w:val="auto"/>
          <w:sz w:val="24"/>
          <w:szCs w:val="24"/>
          <w:highlight w:val="none"/>
          <w:lang w:val="en-US" w:eastAsia="zh-CN"/>
        </w:rPr>
        <w:t xml:space="preserve">支持 </w:t>
      </w:r>
      <w:r>
        <w:rPr>
          <w:rFonts w:hint="eastAsia" w:asciiTheme="minorEastAsia" w:hAnsiTheme="minorEastAsia" w:eastAsiaTheme="minorEastAsia" w:cstheme="minorEastAsia"/>
          <w:color w:val="auto"/>
          <w:sz w:val="24"/>
          <w:szCs w:val="24"/>
        </w:rPr>
        <w:t xml:space="preserve">丰富的分析报表，包括成本趋势分析报告、医务人员工资率趋势报告、分摊明细表、成本构成分析；</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19、支持多版本的本量利分析，基于预测数和实际数的保本量、安全边际量、加权平均贡献毛益率和盈亏平衡点计算。</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20、支持对收入数据中医疗服务项目不合理地执行科室的数据的纠错与调整，优化了收入数据中的错误信息的数据质量，更加符合医院业务的实际情况。</w:t>
      </w:r>
      <w:r/>
    </w:p>
    <w:p>
      <w:pPr>
        <w:ind w:left="0" w:firstLine="482"/>
        <w:pageBreakBefore w:val="0"/>
        <w:spacing w:line="490" w:lineRule="exact"/>
        <w:rPr>
          <w:rFonts w:hint="eastAsia" w:asciiTheme="minorEastAsia" w:hAnsiTheme="minorEastAsia" w:eastAsiaTheme="minorEastAsia" w:cstheme="minorEastAsia"/>
          <w:b/>
          <w:bCs/>
          <w:color w:val="auto"/>
          <w:sz w:val="24"/>
          <w:szCs w:val="24"/>
        </w:rPr>
        <w:outlineLvl w:val="4"/>
      </w:pPr>
      <w:r>
        <w:rPr>
          <w:rFonts w:hint="eastAsia" w:asciiTheme="minorEastAsia" w:hAnsiTheme="minorEastAsia" w:eastAsiaTheme="minorEastAsia" w:cstheme="minorEastAsia"/>
          <w:b/>
          <w:bCs/>
          <w:color w:val="auto"/>
          <w:sz w:val="24"/>
          <w:szCs w:val="24"/>
        </w:rPr>
        <w:t xml:space="preserve">2.1.1基础数据</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支持和其他相关业务系统建立接口，每月自动获取所需数据。若无法建立接口，系统支持按照模板导入数据，包括收入数据、人力成本、物资成本、资产成本、其他成本、成本归集数据、维修维保数据、人员工时数据、科室人数数据等。</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（2）支持按照项目成本的核算单元对收入明细数据进行查看，包括是否参与核算进行设置，对收入总额、不纳入核算科室的总收入、核算科室不纳入核算项目总金额以及参与核算项目总收入进行统计。</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（3）支持对人力成本、物资成本、资产成本、其他成本数据进行查询。支持对成本归集数据进行查询、校验和批量设置功能。</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（4）支持按月录入（导入）、查询人员工时、科室人数、设备工时、作业工时分配、面积数据。</w:t>
      </w:r>
      <w:r/>
    </w:p>
    <w:p>
      <w:pPr>
        <w:ind w:left="0" w:firstLine="482"/>
        <w:pageBreakBefore w:val="0"/>
        <w:spacing w:line="490" w:lineRule="exact"/>
        <w:rPr>
          <w:rFonts w:hint="eastAsia" w:asciiTheme="minorEastAsia" w:hAnsiTheme="minorEastAsia" w:eastAsiaTheme="minorEastAsia" w:cstheme="minorEastAsia"/>
          <w:b/>
          <w:bCs/>
          <w:color w:val="auto"/>
          <w:sz w:val="24"/>
          <w:szCs w:val="24"/>
        </w:rPr>
        <w:outlineLvl w:val="4"/>
      </w:pPr>
      <w:r>
        <w:rPr>
          <w:rFonts w:hint="eastAsia" w:asciiTheme="minorEastAsia" w:hAnsiTheme="minorEastAsia" w:eastAsiaTheme="minorEastAsia" w:cstheme="minorEastAsia"/>
          <w:b/>
          <w:bCs/>
          <w:color w:val="auto"/>
          <w:sz w:val="24"/>
          <w:szCs w:val="24"/>
        </w:rPr>
        <w:t xml:space="preserve">2.1.2核算模型</w:t>
      </w:r>
      <w:r/>
    </w:p>
    <w:p>
      <w:pPr>
        <w:ind w:left="0" w:firstLine="480"/>
        <w:pageBreakBefore w:val="0"/>
        <w:spacing w:line="490" w:lineRule="exact"/>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color w:val="auto"/>
          <w:sz w:val="24"/>
          <w:szCs w:val="24"/>
        </w:rPr>
        <w:t xml:space="preserve">（1）支持多种核算方法模型设置，包括:作业成本法、估时作业成本法、比例系数法。支持成本当量法，成本当量法包括核算方案、项目当量设置、科室成本计算、院级成本计算、成本发布等功能</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ind w:left="0" w:firstLine="480"/>
        <w:pageBreakBefore w:val="0"/>
        <w:spacing w:line="49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支持同一个核算方案下不同核算科室使用不同的核算方法模型，可根据核算方法的不同搭建不同的核算模型，支持作业成本法、估时作业法、参数分配法、点值法、成本当量法,可进行直接成本和间接成本核算模型的搭建,作业成本法支持引用作业成本知识库体现某科室某服务项目的人工配备、材料消耗、设备配置等资源消耗因素;成本当量法支持项目当量值的设置。</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(3)支持作业成本法、估时作业成本法、比例系数法模型按照项目和资源两个维度填报作业模型，通过作业模型维护计算各个医疗服务项目的资源消耗。</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(4)支持作业成本法、估时作业成本法按科室成本要素，分直接成本、管理分摊、医辅分摊三个维度设置资源动因和作业动因。</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(5)支持作业成本法、估时作业成本法进行核算模型检查，即通过对人工配置模型、材料消耗模型及设备配置模型的评估，分析直接成本构成;间接成本通过对动因数据的对比分析，判断动因数据的合理性。</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(6)支持比例系数法按照多种参数设置间接成本比例。</w:t>
      </w:r>
      <w:r/>
    </w:p>
    <w:p>
      <w:pPr>
        <w:ind w:left="0" w:firstLine="480"/>
        <w:pageBreakBefore w:val="0"/>
        <w:spacing w:line="49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rPr>
        <w:t xml:space="preserve">(7)支持当量法设置项目当量值。</w:t>
      </w:r>
      <w:r/>
    </w:p>
    <w:p>
      <w:pPr>
        <w:ind w:left="0" w:firstLine="482"/>
        <w:pageBreakBefore w:val="0"/>
        <w:spacing w:line="490" w:lineRule="exact"/>
        <w:rPr>
          <w:rFonts w:hint="eastAsia" w:asciiTheme="minorEastAsia" w:hAnsiTheme="minorEastAsia" w:eastAsiaTheme="minorEastAsia" w:cstheme="minorEastAsia"/>
          <w:b/>
          <w:bCs/>
          <w:color w:val="auto"/>
          <w:sz w:val="24"/>
          <w:szCs w:val="24"/>
        </w:rPr>
        <w:outlineLvl w:val="4"/>
      </w:pPr>
      <w:r>
        <w:rPr>
          <w:rFonts w:hint="eastAsia" w:asciiTheme="minorEastAsia" w:hAnsiTheme="minorEastAsia" w:eastAsiaTheme="minorEastAsia" w:cstheme="minorEastAsia"/>
          <w:b/>
          <w:bCs/>
          <w:color w:val="auto"/>
          <w:sz w:val="24"/>
          <w:szCs w:val="24"/>
        </w:rPr>
        <w:t xml:space="preserve">2.1.3成本计算</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(1)支持自定义项目成本核算的起止时间，可任意时间段，对方案所需要的动因数据的具体数据进行成本数据计算。</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(2)支持科室级、院级项目成本计算，具备使用作业成本法或比例系数法或者成本当量法进行实际成本的计算功能，计算成功后发布支持项目成本核算数据查询，跟踪分析各个医疗服务项目的成本数据，</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(3)作业成本法、比例系数法支持目标成本计算，即以项目成本的核算模型中的定额消耗为依据，不考虑实际消耗情况，计算各个医疗服务项目的成本。</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(4)使用作业成本法对医疗服务项目的间接成本进行分摊时，分摊过程分为资源成本分配和作业成本分配。</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(5)支持同一项目不同期间、不同科室的成本差异分析。</w:t>
      </w:r>
      <w:r/>
    </w:p>
    <w:p>
      <w:pPr>
        <w:ind w:left="0" w:firstLine="482"/>
        <w:pageBreakBefore w:val="0"/>
        <w:spacing w:line="490" w:lineRule="exact"/>
        <w:rPr>
          <w:rFonts w:hint="eastAsia" w:asciiTheme="minorEastAsia" w:hAnsiTheme="minorEastAsia" w:eastAsiaTheme="minorEastAsia" w:cstheme="minorEastAsia"/>
          <w:b/>
          <w:bCs/>
          <w:color w:val="auto"/>
          <w:sz w:val="24"/>
          <w:szCs w:val="24"/>
        </w:rPr>
        <w:outlineLvl w:val="4"/>
      </w:pPr>
      <w:r>
        <w:rPr>
          <w:rFonts w:hint="eastAsia" w:asciiTheme="minorEastAsia" w:hAnsiTheme="minorEastAsia" w:eastAsiaTheme="minorEastAsia" w:cstheme="minorEastAsia"/>
          <w:b/>
          <w:bCs/>
          <w:color w:val="auto"/>
          <w:sz w:val="24"/>
          <w:szCs w:val="24"/>
        </w:rPr>
        <w:t xml:space="preserve">2.1.4成本报表</w:t>
      </w:r>
      <w:r/>
    </w:p>
    <w:p>
      <w:pPr>
        <w:ind w:left="0" w:firstLine="480"/>
        <w:pageBreakBefore w:val="0"/>
        <w:spacing w:line="49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cstheme="minorEastAsia"/>
          <w:color w:val="auto"/>
          <w:sz w:val="24"/>
          <w:szCs w:val="24"/>
          <w:highlight w:val="none"/>
          <w:lang w:val="en-US" w:eastAsia="zh-CN"/>
        </w:rPr>
        <w:t xml:space="preserve">支持</w:t>
      </w:r>
      <w:r>
        <w:rPr>
          <w:rFonts w:hint="eastAsia" w:asciiTheme="minorEastAsia" w:hAnsiTheme="minorEastAsia" w:eastAsiaTheme="minorEastAsia" w:cstheme="minorEastAsia"/>
          <w:color w:val="auto"/>
          <w:sz w:val="24"/>
          <w:szCs w:val="24"/>
          <w:highlight w:val="none"/>
        </w:rPr>
        <w:t xml:space="preserve">《关于印发&lt;公立医院成本核算指导手册&gt;的通知》(国卫办财务函(2023)377号)文件要求的公立医院医疗服务项目成本报表。</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(2)支持项目成本收益分析，可查询院级、科室级医疗服务项目本收益分析、盈亏数量分析及亏损项目分析。</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（3）支持项目成本分析，可查询院级、科室级医疗服务项目成本趋势及对比分析。</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（4）支持项目成本结构分析，可查询科室级、院级医疗服务项目成本构成明细分析。</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（5）支持项目成本控制分析，可查询科室级、院级医疗服务项目按收入、工作量、收益排名分析，以及项目保本分析等。</w:t>
      </w:r>
      <w:r/>
    </w:p>
    <w:p>
      <w:pPr>
        <w:ind w:left="0" w:firstLine="482"/>
        <w:pageBreakBefore w:val="0"/>
        <w:spacing w:line="490" w:lineRule="exact"/>
        <w:rPr>
          <w:rFonts w:hint="eastAsia" w:asciiTheme="minorEastAsia" w:hAnsiTheme="minorEastAsia" w:eastAsiaTheme="minorEastAsia" w:cstheme="minorEastAsia"/>
          <w:b/>
          <w:bCs/>
          <w:color w:val="auto"/>
          <w:sz w:val="24"/>
          <w:szCs w:val="24"/>
        </w:rPr>
        <w:outlineLvl w:val="4"/>
      </w:pPr>
      <w:r>
        <w:rPr>
          <w:rFonts w:hint="eastAsia" w:asciiTheme="minorEastAsia" w:hAnsiTheme="minorEastAsia" w:eastAsiaTheme="minorEastAsia" w:cstheme="minorEastAsia"/>
          <w:b/>
          <w:bCs/>
          <w:color w:val="auto"/>
          <w:sz w:val="24"/>
          <w:szCs w:val="24"/>
        </w:rPr>
        <w:t xml:space="preserve">2.1.5成本分析</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(1)支持资源效率分析，对人员效率、设备使用率、物资利用率进行分析查询。</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(2)支持全院级项目成本可视化分析，对医院开展的医疗服务项目总量、盈利项目数据、亏损项目数据，以及各类项目的亏损幅度进行排名分析。</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(3)支持院区级项目成本可视化分析，对比分析各院区的医疗服务项目总量、盈利项目数据、亏损项目数据，以及项目盈亏情况对比分析。</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(4)支持科室级项目成本可视化分析，对某一科室开展的医疗服务项目总量、盈利项目数据、亏损项目数据，以及各类项目的亏损幅度进行排名分析。</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(5)支持医疗服务项目保本可视化分析，对项目保本点及政策性亏损的项目进行分析。</w:t>
      </w:r>
      <w:r/>
    </w:p>
    <w:p>
      <w:pPr>
        <w:ind w:left="0" w:firstLine="482"/>
        <w:pageBreakBefore w:val="0"/>
        <w:spacing w:line="49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rPr>
        <w:t xml:space="preserve">2.1.6调价与补偿测算</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ind w:left="0" w:firstLine="480"/>
        <w:pageBreakBefore w:val="0"/>
        <w:spacing w:line="49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(1)支持医疗服务项目补偿测算，提供按成本收费比测算、按政策性亏损测算两种测算方式。</w:t>
      </w:r>
      <w:r/>
    </w:p>
    <w:p>
      <w:pPr>
        <w:ind w:left="0" w:firstLine="480"/>
        <w:pageBreakBefore w:val="0"/>
        <w:spacing w:line="49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(2)支持医疗服务项目调价测算，根据医疗服务价格申报模板，生成价格申报表。</w:t>
      </w:r>
      <w:r/>
    </w:p>
    <w:p>
      <w:pPr>
        <w:ind w:left="0" w:firstLine="480"/>
        <w:pageBreakBefore w:val="0"/>
        <w:spacing w:line="49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(3)支持医疗服务项目价格测算，提供调价项目对项目、医院、科室、病种调价静态影响分析功能。</w:t>
      </w:r>
      <w:r/>
    </w:p>
    <w:p>
      <w:pPr>
        <w:ind w:left="0" w:firstLine="482"/>
        <w:pageBreakBefore w:val="0"/>
        <w:spacing w:line="49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2.1.7</w:t>
      </w:r>
      <w:r>
        <w:rPr>
          <w:rFonts w:hint="eastAsia" w:asciiTheme="minorEastAsia" w:hAnsiTheme="minorEastAsia" w:cstheme="minorEastAsia"/>
          <w:b/>
          <w:bCs/>
          <w:color w:val="auto"/>
          <w:sz w:val="24"/>
          <w:szCs w:val="24"/>
          <w:highlight w:val="none"/>
          <w:lang w:val="en-US" w:eastAsia="zh-CN"/>
        </w:rPr>
        <w:t xml:space="preserve"> 分析报告</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pStyle w:val="631"/>
        <w:numPr>
          <w:ilvl w:val="3"/>
          <w:numId w:val="0"/>
        </w:numPr>
        <w:ind w:left="0" w:firstLine="480"/>
        <w:pageBreakBefore w:val="0"/>
        <w:spacing w:before="0" w:after="0" w:line="490" w:lineRule="exact"/>
        <w:rPr>
          <w:rFonts w:hint="eastAsia" w:asciiTheme="minorEastAsia" w:hAnsiTheme="minorEastAsia" w:eastAsiaTheme="minorEastAsia" w:cstheme="minorEastAsia"/>
          <w:b w:val="0"/>
          <w:bCs w:val="0"/>
          <w:color w:val="auto"/>
          <w:sz w:val="24"/>
          <w:szCs w:val="24"/>
          <w:highlight w:val="none"/>
        </w:rPr>
      </w:pPr>
      <w:r/>
      <w:bookmarkStart w:id="202" w:name="_Toc20795"/>
      <w:r/>
      <w:bookmarkStart w:id="203" w:name="_Toc102035265"/>
      <w:r>
        <w:rPr>
          <w:rFonts w:hint="eastAsia" w:asciiTheme="minorEastAsia" w:hAnsiTheme="minorEastAsia" w:eastAsiaTheme="minorEastAsia" w:cstheme="minorEastAsia"/>
          <w:b w:val="0"/>
          <w:bCs w:val="0"/>
          <w:color w:val="auto"/>
          <w:sz w:val="24"/>
          <w:szCs w:val="24"/>
          <w:highlight w:val="none"/>
        </w:rPr>
        <w:t xml:space="preserve">(1)提供分析报告模板设置功能，支持新增、删除模板。</w:t>
      </w:r>
      <w:r/>
    </w:p>
    <w:p>
      <w:pPr>
        <w:pStyle w:val="631"/>
        <w:numPr>
          <w:ilvl w:val="3"/>
          <w:numId w:val="0"/>
        </w:numPr>
        <w:ind w:left="0" w:firstLine="480"/>
        <w:pageBreakBefore w:val="0"/>
        <w:spacing w:before="0" w:after="0" w:line="49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(2)提供分析报告生成功能，支持根据选定的分析报告模板对指定核算期间、成本级次、费用类型的成本核算结果数据生成分析报告，支持报告预览。</w:t>
      </w:r>
      <w:r/>
    </w:p>
    <w:p>
      <w:pPr>
        <w:pStyle w:val="631"/>
        <w:numPr>
          <w:ilvl w:val="3"/>
          <w:numId w:val="0"/>
        </w:numPr>
        <w:ind w:left="0" w:firstLine="480"/>
        <w:pageBreakBefore w:val="0"/>
        <w:spacing w:before="0" w:after="0" w:line="49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(3)提供分析报告查询功能，支持查询和下载分析报告。</w:t>
      </w:r>
      <w:r/>
    </w:p>
    <w:p>
      <w:pPr>
        <w:ind w:left="0" w:firstLine="482"/>
        <w:pageBreakBefore w:val="0"/>
        <w:spacing w:line="490" w:lineRule="exact"/>
        <w:rPr>
          <w:rFonts w:hint="eastAsia" w:asciiTheme="minorEastAsia" w:hAnsiTheme="minorEastAsia" w:eastAsiaTheme="minorEastAsia" w:cstheme="minorEastAsia"/>
          <w:b/>
          <w:bCs/>
          <w:color w:val="auto"/>
          <w:sz w:val="24"/>
          <w:szCs w:val="24"/>
          <w:highlight w:val="none"/>
        </w:rPr>
        <w:outlineLvl w:val="4"/>
      </w:pPr>
      <w:r>
        <w:rPr>
          <w:rFonts w:hint="eastAsia" w:asciiTheme="minorEastAsia" w:hAnsiTheme="minorEastAsia" w:eastAsiaTheme="minorEastAsia" w:cstheme="minorEastAsia"/>
          <w:b/>
          <w:bCs/>
          <w:color w:val="auto"/>
          <w:sz w:val="24"/>
          <w:szCs w:val="24"/>
          <w:highlight w:val="none"/>
          <w:lang w:val="en-US" w:eastAsia="zh-CN"/>
        </w:rPr>
        <w:t xml:space="preserve">2.1.8</w:t>
      </w:r>
      <w:r>
        <w:rPr>
          <w:rFonts w:hint="eastAsia" w:asciiTheme="minorEastAsia" w:hAnsiTheme="minorEastAsia" w:eastAsiaTheme="minorEastAsia" w:cstheme="minorEastAsia"/>
          <w:b/>
          <w:bCs/>
          <w:color w:val="auto"/>
          <w:sz w:val="24"/>
          <w:szCs w:val="24"/>
          <w:highlight w:val="none"/>
        </w:rPr>
        <w:t xml:space="preserve">基础设置</w:t>
      </w:r>
      <w:r/>
    </w:p>
    <w:p>
      <w:pPr>
        <w:numPr>
          <w:ilvl w:val="0"/>
          <w:numId w:val="0"/>
        </w:numPr>
        <w:ind w:left="0"/>
        <w:pageBreakBefore w:val="0"/>
        <w:spacing w:line="490" w:lineRule="exact"/>
        <w:rPr>
          <w:rFonts w:hint="eastAsia" w:asciiTheme="minorEastAsia" w:hAnsiTheme="minorEastAsia" w:eastAsiaTheme="minorEastAsia" w:cstheme="minorEastAsia"/>
          <w:b w:val="0"/>
          <w:bCs w:val="0"/>
          <w:color w:val="auto"/>
          <w:sz w:val="24"/>
          <w:szCs w:val="24"/>
        </w:rPr>
        <w:outlineLvl w:val="4"/>
      </w:pPr>
      <w:r>
        <w:rPr>
          <w:rFonts w:hint="eastAsia" w:asciiTheme="minorEastAsia" w:hAnsiTheme="minorEastAsia" w:cstheme="minorEastAsia"/>
          <w:b w:val="0"/>
          <w:bCs w:val="0"/>
          <w:color w:val="auto"/>
          <w:sz w:val="24"/>
          <w:szCs w:val="24"/>
          <w:lang w:eastAsia="zh-CN"/>
        </w:rPr>
        <w:t xml:space="preserve">（</w:t>
      </w:r>
      <w:r>
        <w:rPr>
          <w:rFonts w:hint="eastAsia" w:asciiTheme="minorEastAsia" w:hAnsi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rPr>
        <w:t xml:space="preserve">支持项目成本分摊相关参数设置，包括人员工资、物资、资产成本计算方式设置以及是否启用工作量和作业系数等设置</w:t>
      </w:r>
      <w:r/>
    </w:p>
    <w:p>
      <w:pPr>
        <w:numPr>
          <w:ilvl w:val="0"/>
          <w:numId w:val="0"/>
        </w:numPr>
        <w:ind w:left="0"/>
        <w:pageBreakBefore w:val="0"/>
        <w:spacing w:line="490" w:lineRule="exact"/>
        <w:rPr>
          <w:rFonts w:hint="eastAsia" w:asciiTheme="minorEastAsia" w:hAnsiTheme="minorEastAsia" w:eastAsiaTheme="minorEastAsia" w:cstheme="minorEastAsia"/>
          <w:b w:val="0"/>
          <w:bCs w:val="0"/>
          <w:color w:val="auto"/>
          <w:sz w:val="24"/>
          <w:szCs w:val="24"/>
        </w:rPr>
        <w:outlineLvl w:val="4"/>
      </w:pPr>
      <w:r>
        <w:rPr>
          <w:rFonts w:hint="eastAsia" w:asciiTheme="minorEastAsia" w:hAnsi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2)支持项目成本核算所需的相关字典设置，包括核算科室、收费项目、成本项目、作业分类、作业字典、资源动因、作业动因、技术职务等字典。</w:t>
      </w:r>
      <w:r/>
    </w:p>
    <w:p>
      <w:pPr>
        <w:numPr>
          <w:ilvl w:val="0"/>
          <w:numId w:val="0"/>
        </w:numPr>
        <w:ind w:left="0"/>
        <w:pageBreakBefore w:val="0"/>
        <w:spacing w:line="490" w:lineRule="exact"/>
        <w:rPr>
          <w:rFonts w:hint="eastAsia" w:asciiTheme="minorEastAsia" w:hAnsiTheme="minorEastAsia" w:eastAsiaTheme="minorEastAsia" w:cstheme="minorEastAsia"/>
          <w:b w:val="0"/>
          <w:bCs w:val="0"/>
          <w:color w:val="auto"/>
          <w:sz w:val="24"/>
          <w:szCs w:val="24"/>
        </w:rPr>
        <w:outlineLvl w:val="4"/>
      </w:pPr>
      <w:r>
        <w:rPr>
          <w:rFonts w:hint="eastAsia" w:asciiTheme="minorEastAsia" w:hAnsiTheme="minorEastAsia" w:eastAsiaTheme="minorEastAsia" w:cstheme="minorEastAsia"/>
          <w:b w:val="0"/>
          <w:bCs w:val="0"/>
          <w:color w:val="auto"/>
          <w:sz w:val="24"/>
          <w:szCs w:val="24"/>
        </w:rPr>
        <w:t xml:space="preserve">(3)支持项目成本涉及的相关字典对应关系设置，包括项目成本核算科室与科室成本核算科室的对应关系、科室成本中收费项目关系中开单科室、执行科室转换为项目成本中、科室作业关系等设置。</w:t>
      </w:r>
      <w:r/>
    </w:p>
    <w:p>
      <w:pPr>
        <w:numPr>
          <w:ilvl w:val="0"/>
          <w:numId w:val="0"/>
        </w:numPr>
        <w:ind w:left="0"/>
        <w:pageBreakBefore w:val="0"/>
        <w:spacing w:line="490" w:lineRule="exact"/>
        <w:rPr>
          <w:rFonts w:hint="eastAsia" w:asciiTheme="minorEastAsia" w:hAnsiTheme="minorEastAsia" w:eastAsiaTheme="minorEastAsia" w:cstheme="minorEastAsia"/>
          <w:b w:val="0"/>
          <w:bCs w:val="0"/>
          <w:color w:val="auto"/>
          <w:sz w:val="24"/>
          <w:szCs w:val="24"/>
          <w:lang w:eastAsia="zh-CN"/>
        </w:rPr>
        <w:outlineLvl w:val="4"/>
      </w:pPr>
      <w:r>
        <w:rPr>
          <w:rFonts w:hint="eastAsia" w:asciiTheme="minorEastAsia" w:hAnsiTheme="minorEastAsia" w:eastAsiaTheme="minorEastAsia" w:cstheme="minorEastAsia"/>
          <w:b w:val="0"/>
          <w:bCs w:val="0"/>
          <w:color w:val="auto"/>
          <w:sz w:val="24"/>
          <w:szCs w:val="24"/>
        </w:rPr>
        <w:t xml:space="preserve">(4)支持标记直接计入项目设备、资产</w:t>
      </w:r>
      <w:r>
        <w:rPr>
          <w:rFonts w:hint="eastAsia" w:asciiTheme="minorEastAsia" w:hAnsiTheme="minorEastAsia" w:cstheme="minorEastAsia"/>
          <w:b w:val="0"/>
          <w:bCs w:val="0"/>
          <w:color w:val="auto"/>
          <w:sz w:val="24"/>
          <w:szCs w:val="24"/>
          <w:lang w:eastAsia="zh-CN"/>
        </w:rPr>
        <w:t xml:space="preserve">。</w:t>
      </w:r>
      <w:r/>
    </w:p>
    <w:p>
      <w:pPr>
        <w:numPr>
          <w:ilvl w:val="0"/>
          <w:numId w:val="0"/>
        </w:numPr>
        <w:ind w:left="0"/>
        <w:pageBreakBefore w:val="0"/>
        <w:spacing w:line="490" w:lineRule="exact"/>
        <w:rPr>
          <w:rFonts w:hint="eastAsia" w:asciiTheme="minorEastAsia" w:hAnsiTheme="minorEastAsia" w:eastAsiaTheme="minorEastAsia" w:cstheme="minorEastAsia"/>
          <w:b w:val="0"/>
          <w:bCs w:val="0"/>
          <w:color w:val="auto"/>
          <w:sz w:val="24"/>
          <w:szCs w:val="24"/>
        </w:rPr>
        <w:outlineLvl w:val="4"/>
      </w:pPr>
      <w:r>
        <w:rPr>
          <w:rFonts w:hint="eastAsia" w:asciiTheme="minorEastAsia" w:hAnsiTheme="minorEastAsia" w:eastAsiaTheme="minorEastAsia" w:cstheme="minorEastAsia"/>
          <w:b w:val="0"/>
          <w:bCs w:val="0"/>
          <w:color w:val="auto"/>
          <w:sz w:val="24"/>
          <w:szCs w:val="24"/>
        </w:rPr>
        <w:t xml:space="preserve">(5)支持作业库初始化，包括标准作业库导入、标准字典关系设置、作业模型初始化功能模块,实现标准作业库信息初始化医院作业库功能以及维护医院字段与标准字典的映射关系功能</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投标时提供软件功能截图作为证明材料</w:t>
      </w:r>
      <w:r>
        <w:rPr>
          <w:rFonts w:hint="eastAsia" w:asciiTheme="minorEastAsia" w:hAnsiTheme="minorEastAsia" w:eastAsiaTheme="minorEastAsia" w:cstheme="minorEastAsia"/>
          <w:b w:val="0"/>
          <w:bCs w:val="0"/>
          <w:color w:val="auto"/>
          <w:sz w:val="24"/>
          <w:szCs w:val="24"/>
          <w:highlight w:val="none"/>
        </w:rPr>
        <w:t xml:space="preserve">)</w:t>
      </w:r>
      <w:r/>
    </w:p>
    <w:p>
      <w:pPr>
        <w:pStyle w:val="631"/>
        <w:numPr>
          <w:ilvl w:val="3"/>
          <w:numId w:val="0"/>
        </w:numPr>
        <w:ind w:left="0" w:firstLine="482"/>
        <w:pageBreakBefore w:val="0"/>
        <w:spacing w:before="0" w:after="0"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2.2病种成本</w:t>
      </w:r>
      <w:bookmarkEnd w:id="202"/>
      <w:r/>
      <w:bookmarkEnd w:id="203"/>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医院实行病种成本核算的目的是通过核算病种成本,正确计算各项病种服务的实际消耗和支出，通过核算过程及结果，寻找医疗资源和医疗服务流程优化的途径，根据数据分析找到内部费用的控制点，建立一套可行、可用、高效的成本管控的方法体系。</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系统需支持基于项目成本核算结果按照临床路径叠加的项目叠加法核算病种成本的病种成本核算方式。</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以病种为核算单元，采用项目叠加法按期核算医院病种成本。关注医院病种的收入成本和收益情况，进行深入成本分析，为医院优化科室诊疗结构，提升临床诊疗能力的同时有效控制成本提供经济方面的依据。通过核算病种成本，正确计算各项病种服务的实际消耗和支出，通过核算过程及结果，寻找医疗资源和医疗服务流程优化的途径，根据数据分析找到内部费用的控制点。</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具体需要实现的功能如下:</w:t>
      </w:r>
      <w:r/>
    </w:p>
    <w:p>
      <w:pPr>
        <w:ind w:left="0" w:firstLine="482"/>
        <w:pageBreakBefore w:val="0"/>
        <w:spacing w:line="490" w:lineRule="exact"/>
        <w:rPr>
          <w:rFonts w:hint="eastAsia" w:asciiTheme="minorEastAsia" w:hAnsiTheme="minorEastAsia" w:eastAsiaTheme="minorEastAsia" w:cstheme="minorEastAsia"/>
          <w:b/>
          <w:bCs/>
          <w:color w:val="auto"/>
          <w:sz w:val="24"/>
          <w:szCs w:val="24"/>
        </w:rPr>
        <w:outlineLvl w:val="4"/>
      </w:pPr>
      <w:r>
        <w:rPr>
          <w:rFonts w:hint="eastAsia" w:asciiTheme="minorEastAsia" w:hAnsiTheme="minorEastAsia" w:eastAsiaTheme="minorEastAsia" w:cstheme="minorEastAsia"/>
          <w:b/>
          <w:bCs/>
          <w:color w:val="auto"/>
          <w:sz w:val="24"/>
          <w:szCs w:val="24"/>
        </w:rPr>
        <w:t xml:space="preserve">2.2.1基础数据</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(1)按照ICD10、ICD9 以及医院病种分型的特征要求，对医院病种进行分类定义。</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(2)支持多级次病种管理，支持多维度分型管理;支持自定义病种组合方式。</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(3)对病人的数据进行维护，具体包括:病人病案首页数据、病人病历收费明细数据，以及添加、修改、删除、查询等功能。</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(4)支持和其他相关业务系统建立接口，每月自动获取所需数据，若无法建立接口，支持按照模板导入数据。</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(5)支持维护病种成本核算所需的病案首页数据、费用结算明细、项目成本数据以及收费明细数据、临床路径数据</w:t>
      </w:r>
      <w:r>
        <w:rPr>
          <w:rFonts w:hint="eastAsia" w:asciiTheme="minorEastAsia" w:hAnsiTheme="minorEastAsia" w:cstheme="minorEastAsia"/>
          <w:color w:val="auto"/>
          <w:sz w:val="24"/>
          <w:szCs w:val="24"/>
          <w:lang w:eastAsia="zh-CN"/>
        </w:rPr>
        <w:t xml:space="preserve">。</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(6)支持临床路径对应的项目的维护。</w:t>
      </w:r>
      <w:r/>
    </w:p>
    <w:p>
      <w:pPr>
        <w:ind w:left="0" w:firstLine="482"/>
        <w:pageBreakBefore w:val="0"/>
        <w:spacing w:line="490" w:lineRule="exact"/>
        <w:rPr>
          <w:rFonts w:hint="eastAsia" w:asciiTheme="minorEastAsia" w:hAnsiTheme="minorEastAsia" w:eastAsiaTheme="minorEastAsia" w:cstheme="minorEastAsia"/>
          <w:b/>
          <w:bCs/>
          <w:color w:val="auto"/>
          <w:sz w:val="24"/>
          <w:szCs w:val="24"/>
        </w:rPr>
        <w:outlineLvl w:val="4"/>
      </w:pPr>
      <w:r>
        <w:rPr>
          <w:rFonts w:hint="eastAsia" w:asciiTheme="minorEastAsia" w:hAnsiTheme="minorEastAsia" w:eastAsiaTheme="minorEastAsia" w:cstheme="minorEastAsia"/>
          <w:b/>
          <w:bCs/>
          <w:color w:val="auto"/>
          <w:sz w:val="24"/>
          <w:szCs w:val="24"/>
        </w:rPr>
        <w:t xml:space="preserve">2.2.2病种核算模型配置</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采用项目叠加法进行病种成本核算,建立病种成本核算模型,包括数据模型和核算流程，平衡数据存储能力和流程运算效率，实现最优化结构。实现科室病种成本、院级病种成本、标准临床路径病种成本等内容。</w:t>
      </w:r>
      <w:r/>
    </w:p>
    <w:p>
      <w:pPr>
        <w:ind w:left="0" w:firstLine="482"/>
        <w:pageBreakBefore w:val="0"/>
        <w:spacing w:line="490" w:lineRule="exact"/>
        <w:rPr>
          <w:rFonts w:hint="eastAsia" w:asciiTheme="minorEastAsia" w:hAnsiTheme="minorEastAsia" w:eastAsiaTheme="minorEastAsia" w:cstheme="minorEastAsia"/>
          <w:b/>
          <w:bCs/>
          <w:color w:val="auto"/>
          <w:sz w:val="24"/>
          <w:szCs w:val="24"/>
        </w:rPr>
        <w:outlineLvl w:val="4"/>
      </w:pPr>
      <w:r>
        <w:rPr>
          <w:rFonts w:hint="eastAsia" w:asciiTheme="minorEastAsia" w:hAnsiTheme="minorEastAsia" w:eastAsiaTheme="minorEastAsia" w:cstheme="minorEastAsia"/>
          <w:b/>
          <w:bCs/>
          <w:color w:val="auto"/>
          <w:sz w:val="24"/>
          <w:szCs w:val="24"/>
        </w:rPr>
        <w:t xml:space="preserve">2.2.3项目成本归集</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归集医院当期项目成本数据，对病历收费项目的成本进行维护，收费项目具体包括:材料类收费项目、药品类收费项目、医疗项目等。</w:t>
      </w:r>
      <w:r/>
    </w:p>
    <w:p>
      <w:pPr>
        <w:ind w:left="0" w:firstLine="482"/>
        <w:pageBreakBefore w:val="0"/>
        <w:spacing w:line="490" w:lineRule="exact"/>
        <w:rPr>
          <w:rFonts w:hint="eastAsia" w:asciiTheme="minorEastAsia" w:hAnsiTheme="minorEastAsia" w:eastAsiaTheme="minorEastAsia" w:cstheme="minorEastAsia"/>
          <w:b/>
          <w:bCs/>
          <w:color w:val="auto"/>
          <w:sz w:val="24"/>
          <w:szCs w:val="24"/>
        </w:rPr>
        <w:outlineLvl w:val="4"/>
      </w:pPr>
      <w:r>
        <w:rPr>
          <w:rFonts w:hint="eastAsia" w:asciiTheme="minorEastAsia" w:hAnsiTheme="minorEastAsia" w:eastAsiaTheme="minorEastAsia" w:cstheme="minorEastAsia"/>
          <w:b/>
          <w:bCs/>
          <w:color w:val="auto"/>
          <w:sz w:val="24"/>
          <w:szCs w:val="24"/>
        </w:rPr>
        <w:t xml:space="preserve">2.2.4病种成本计算</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首先按照给定的规则筛选样本病历数据，计算出每个病人的成本;然后按照单病种定义的基本条件，将患者成本进行合并，再除以样本数量，得到病种成本;将某病种的患者成本进行统计计算，得到科室单病种成本和院级单病种成本。对病人病种成本、科室病种成本、全院病种成本、临床路径病种成本进行计算、查询。</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（1）核算方案</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支持按任意时间段定义病种成本核算方案，进行病种成本核算。支持同一时间段的病种按不同的项目成本实际方案、项目成本目标方案进行灵活核算。支持对参与核算的病历，按年龄、性别、入院病情、离院方式、住院天数、总费用条件进行筛选。</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（2）实际成本计算</w:t>
      </w:r>
      <w:r/>
    </w:p>
    <w:p>
      <w:pPr>
        <w:ind w:left="0" w:firstLine="480"/>
        <w:jc w:val="left"/>
        <w:pageBreakBefore w:val="0"/>
        <w:spacing w:line="490" w:lineRule="exact"/>
        <w:widowControl/>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rPr>
        <w:t xml:space="preserve">支持病例成本计算，计算每份病历的总收费、总成本、总收益，以及医疗、单收费材料和药品的收费、成本和收益。</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w:t>
      </w:r>
      <w:r>
        <w:rPr>
          <w:rFonts w:hint="eastAsia" w:asciiTheme="minorEastAsia" w:hAnsiTheme="minorEastAsia" w:cstheme="minorEastAsia"/>
          <w:b/>
          <w:bCs/>
          <w:color w:val="auto"/>
          <w:sz w:val="24"/>
          <w:szCs w:val="24"/>
          <w:highlight w:val="none"/>
          <w:lang w:val="en-US" w:eastAsia="zh-CN"/>
        </w:rPr>
        <w:t xml:space="preserve">软件功能截图作为证明材料)</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支持科室级病种成本核算，将病人成本在科室层面按病种进行汇总，形成科室级病种总成本，科室级病种总成本等于科室该病种出院病人成本之和，科室级病种单位成本等于科室级病种总成本除以科室病种病人数。</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支持院级病种成本核算,将病人成本在全面层面按病种进行汇总,形成院级病种总成本，院级病种总成本等于全院该病种出院病人成本之和,院级病种单位成本等于院级病种总成本除以全院病种病人数。</w:t>
      </w:r>
      <w:r/>
    </w:p>
    <w:p>
      <w:pPr>
        <w:ind w:left="0" w:firstLine="480"/>
        <w:jc w:val="left"/>
        <w:pageBreakBefore w:val="0"/>
        <w:spacing w:line="49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rPr>
        <w:t xml:space="preserve">支持结果校验，病种成本计算完成后可对计算结果进行校验，包括平衡校验和同比校验。平衡校验实现从医疗收入与成医疗总成本、门诊收入与门诊成本、住院收入与住院成本的平衡性方面进行校验</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支持在成本发布前,可以反复修改方案并进行核算,数据发布后,对核算结果进行锁定便后后续的数据查询、统计与分析。</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(3)目标成本计算</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支持目标成本计算，即根据临床路径计算的成本</w:t>
      </w:r>
      <w:r>
        <w:rPr>
          <w:rFonts w:hint="eastAsia" w:asciiTheme="minorEastAsia" w:hAnsiTheme="minorEastAsia" w:cstheme="minorEastAsia"/>
          <w:color w:val="auto"/>
          <w:sz w:val="24"/>
          <w:szCs w:val="24"/>
          <w:lang w:eastAsia="zh-CN"/>
        </w:rPr>
        <w:t xml:space="preserve">。</w:t>
      </w:r>
      <w:r/>
    </w:p>
    <w:p>
      <w:pPr>
        <w:ind w:left="0" w:firstLine="482"/>
        <w:pageBreakBefore w:val="0"/>
        <w:spacing w:line="490" w:lineRule="exact"/>
        <w:rPr>
          <w:rFonts w:hint="eastAsia" w:asciiTheme="minorEastAsia" w:hAnsiTheme="minorEastAsia" w:eastAsiaTheme="minorEastAsia" w:cstheme="minorEastAsia"/>
          <w:b/>
          <w:bCs/>
          <w:color w:val="auto"/>
          <w:sz w:val="24"/>
          <w:szCs w:val="24"/>
        </w:rPr>
        <w:outlineLvl w:val="4"/>
      </w:pPr>
      <w:r>
        <w:rPr>
          <w:rFonts w:hint="eastAsia" w:asciiTheme="minorEastAsia" w:hAnsiTheme="minorEastAsia" w:eastAsiaTheme="minorEastAsia" w:cstheme="minorEastAsia"/>
          <w:b/>
          <w:bCs/>
          <w:color w:val="auto"/>
          <w:sz w:val="24"/>
          <w:szCs w:val="24"/>
        </w:rPr>
        <w:t xml:space="preserve">2.2.5报表查询</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系统必须具备灵活的自定义报表功能，满足医院未来扩展报表的要求。</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按照病人、科室、院级的单位成本、收入构成、成本构成、单位收益等多纬度对病种进行查询分析。按照实际临床路径，临床路径对病种进行成本分析。能分析到每个患者、每个诊疗成本项目的成本数据;能够应用“环比分析法”、“比较分析法”、“趋势分析法”等多种分析方法对病种进行分析，寻找成本控制点，为管理者提供分析决策、控制的信息。</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(1)支持病种盈亏分析，分析全院病例数、病种情况及盈亏整体情况，分析各科室病例数、病种情况及盈亏整体情况，分析各疾病分类病例数、入组情况及盈亏整体情况。</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病种成本收益分析，分析全院角度对各个病种的收益情况，分析全院角度对各个病种的各个项目分类的的收益情况进行详细情况,分析科室角度对各个病种的收益情况，分析科室角度对各个病种的各个项目分类的的收益情况进行详细情况。</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(3)支持病种成本趋势分析分析全院角度对各个病种的病例数、病例成本、结余等趋势，分析科室角度对各个病种的病例数、病例成本、结余等趋势。</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(4)支持病种成本结构分析，从全院角度对各个病种的成本构成情况进行分析，从各个科室角度对各个病种的成本构成情况进行分析。</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(5)支持病种成本控制分析，排序分析全院各个病种的结余情况，排序分析全院病种的收入情况。</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cstheme="minorEastAsia"/>
          <w:color w:val="auto"/>
          <w:sz w:val="24"/>
          <w:szCs w:val="24"/>
          <w:highlight w:val="none"/>
          <w:lang w:val="en-US" w:eastAsia="zh-CN"/>
        </w:rPr>
        <w:t xml:space="preserve">支持</w:t>
      </w:r>
      <w:r>
        <w:rPr>
          <w:rFonts w:hint="eastAsia" w:asciiTheme="minorEastAsia" w:hAnsiTheme="minorEastAsia" w:eastAsiaTheme="minorEastAsia" w:cstheme="minorEastAsia"/>
          <w:color w:val="auto"/>
          <w:sz w:val="24"/>
          <w:szCs w:val="24"/>
          <w:highlight w:val="none"/>
        </w:rPr>
        <w:t xml:space="preserve">《关于印发&lt;公立医院成本核算指导手册&gt;的通知》(国卫办财务函(2023)377号)文件要求的公立医院病种成本报表。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(7)病种成本所有报表均支持按excel、pdf格式进行导出。</w:t>
      </w:r>
      <w:r/>
    </w:p>
    <w:p>
      <w:pPr>
        <w:pageBreakBefore w:val="0"/>
        <w:spacing w:line="49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2.2.6 分析报告</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pStyle w:val="634"/>
        <w:ind w:left="0"/>
        <w:pageBreakBefore w:val="0"/>
        <w:spacing w:line="490" w:lineRule="exac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（1)提供分析报告模板设置功能，支持上传并定制病种成本分析报告模板。</w:t>
      </w:r>
      <w:r/>
    </w:p>
    <w:p>
      <w:pPr>
        <w:ind w:left="0" w:firstLine="480"/>
        <w:jc w:val="left"/>
        <w:pageBreakBefore w:val="0"/>
        <w:spacing w:line="490" w:lineRule="exact"/>
        <w:widowControl/>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(2)提供分析报告生成功能，支持根据选定的分析报告模板以及即定的核算方案生成或预览分析报告。</w:t>
      </w:r>
      <w:r/>
    </w:p>
    <w:p>
      <w:pPr>
        <w:ind w:left="0" w:firstLine="480"/>
        <w:jc w:val="left"/>
        <w:pageBreakBefore w:val="0"/>
        <w:spacing w:line="490" w:lineRule="exact"/>
        <w:widowControl/>
        <w:rPr>
          <w:rFonts w:hint="default" w:asciiTheme="minorEastAsia" w:hAnsiTheme="minorEastAsia" w:eastAsiaTheme="minorEastAsia" w:cstheme="minorEastAsia"/>
          <w:color w:val="auto"/>
          <w:sz w:val="24"/>
          <w:szCs w:val="24"/>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(3)提供分</w:t>
      </w:r>
      <w:r>
        <w:rPr>
          <w:rFonts w:hint="default" w:asciiTheme="minorEastAsia" w:hAnsiTheme="minorEastAsia" w:eastAsiaTheme="minorEastAsia" w:cstheme="minorEastAsia"/>
          <w:color w:val="auto"/>
          <w:sz w:val="24"/>
          <w:szCs w:val="24"/>
          <w:lang w:val="en-US" w:eastAsia="zh-CN"/>
        </w:rPr>
        <w:t xml:space="preserve">析报告查询功能，支持查询和下载分析报告。</w:t>
      </w:r>
      <w:r/>
    </w:p>
    <w:p>
      <w:pPr>
        <w:pStyle w:val="631"/>
        <w:numPr>
          <w:ilvl w:val="3"/>
          <w:numId w:val="0"/>
        </w:numPr>
        <w:ind w:left="0" w:firstLine="482"/>
        <w:pageBreakBefore w:val="0"/>
        <w:spacing w:before="0" w:after="0" w:line="490" w:lineRule="exact"/>
        <w:rPr>
          <w:rFonts w:hint="eastAsia" w:asciiTheme="minorEastAsia" w:hAnsiTheme="minorEastAsia" w:eastAsiaTheme="minorEastAsia" w:cstheme="minorEastAsia"/>
          <w:color w:val="auto"/>
          <w:sz w:val="24"/>
          <w:szCs w:val="24"/>
        </w:rPr>
      </w:pPr>
      <w:r/>
      <w:bookmarkStart w:id="204" w:name="_Toc8393"/>
      <w:r>
        <w:rPr>
          <w:rFonts w:hint="eastAsia" w:asciiTheme="minorEastAsia" w:hAnsiTheme="minorEastAsia" w:eastAsiaTheme="minorEastAsia" w:cstheme="minorEastAsia"/>
          <w:color w:val="auto"/>
          <w:sz w:val="24"/>
          <w:szCs w:val="24"/>
        </w:rPr>
        <w:t xml:space="preserve">2.3DRG成本</w:t>
      </w:r>
      <w:bookmarkEnd w:id="204"/>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为适应 DRG 支付方式改革和医院内部DRG管理模式应用的需求,以DRG为成本核算单元，按期核算医院 DRG成本。关注医院 DRG的收入成本和收益情况，进行深入成本分析，为医院优化科室诊疗结构，提升临床诊疗能力的同时有效控制成本提高经济效益。</w:t>
      </w:r>
      <w:r/>
    </w:p>
    <w:p>
      <w:pPr>
        <w:ind w:left="0" w:firstLine="480"/>
        <w:pageBreakBefore w:val="0"/>
        <w:spacing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系统需支持基于项目成本核算结果按照临床路径叠加的项目叠加法核算DRG成本及基于科室成本采用成本收入比法直接计算 DRG成本的两种核算方式。</w:t>
      </w:r>
      <w:r/>
    </w:p>
    <w:p>
      <w:pPr>
        <w:ind w:left="0" w:firstLine="482"/>
        <w:pageBreakBefore w:val="0"/>
        <w:spacing w:line="490" w:lineRule="exact"/>
        <w:rPr>
          <w:rFonts w:hint="eastAsia" w:asciiTheme="minorEastAsia" w:hAnsiTheme="minorEastAsia" w:eastAsiaTheme="minorEastAsia" w:cstheme="minorEastAsia"/>
          <w:b/>
          <w:bCs/>
          <w:color w:val="auto"/>
          <w:sz w:val="24"/>
          <w:szCs w:val="24"/>
          <w:highlight w:val="none"/>
        </w:rPr>
        <w:outlineLvl w:val="4"/>
      </w:pPr>
      <w:r/>
      <w:bookmarkStart w:id="205" w:name="_Toc107589221"/>
      <w:r/>
      <w:bookmarkStart w:id="206" w:name="_Toc97643095"/>
      <w:r>
        <w:rPr>
          <w:rFonts w:hint="eastAsia" w:asciiTheme="minorEastAsia" w:hAnsiTheme="minorEastAsia" w:eastAsiaTheme="minorEastAsia" w:cstheme="minorEastAsia"/>
          <w:b/>
          <w:bCs/>
          <w:color w:val="auto"/>
          <w:sz w:val="24"/>
          <w:szCs w:val="24"/>
          <w:highlight w:val="none"/>
        </w:rPr>
        <w:t xml:space="preserve">2.3.1项目叠加法</w:t>
      </w:r>
      <w:bookmarkEnd w:id="205"/>
      <w:r/>
      <w:bookmarkEnd w:id="206"/>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(1)支持按照ICD10、ICD9 以及医院 DRG组分型的特征要求，对医院病种组进行分类定义。</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(2)支持对病案首页数据按照病案多维度质控要求完成对病案数据的筛选与过滤，把符合要求的数据进行统计筛选。</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(3)获取DRG分组信息:按照统一分组规则，根据患者病案首页数据对患者进行分组管理。根据病历的收费明细对各项成本进行叠加，基础数据管理包括首页数据管理和病历收费明细数据管理。</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(4)支持分别以按照病案出院时间与医保结算时间进行系统选项目叠加。</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(5)核算模型配置:采用项目叠加法进行成本核算，建立成本核算模型，包括数据模型和核算流程，平衡数据存储能力和流程运算效率，实现最优化结构。实现科室DRG成本院级 DRG 成本、临床路径 DRG 成本等内容。</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成本计算:采用项目叠加法，通过各医疗服务项目相加进行病组成本核算，形成实际成本。首先确定病例分组，按照给定的规则筛选样本病历数据,计算出每个病人的成本。然后按照患者DRG病组，将患者成本进行合并，再除以样本数量，得到DRG单位成本;将某DRG 病组的患者成本进行统计计算，得到科室DRG成本和院级 DRG成本。</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(7)报表查询:系统必须具备灵活的自定义报表功能，满足医院未来扩展报表的要求针对 DRG、DIP、CHS等不同的分组模式选择和引用，能够通过配置实现报表。按照病人、科室、院级的单位成本、收入构成、成本构成、单位收益等多纬度对病种进行报表查询分析。</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DRG成本分析:在DRG成本核算基础上，提供DRG组的收入结构、成本结构、进行收益分析，为医院经营决策和管理提供数据依据。按照实际临床路径，对DRG进行成本分析。能分析到每个患者、每个诊疗成本项目的成本数据:能够应用“环比分析法”、“比较分析法”、“趋势分析法”等多种分析方法对 DRG进行分析，寻找成本控制点，为管理者提供分析决策、控制的信息。</w:t>
      </w:r>
      <w:r/>
    </w:p>
    <w:p>
      <w:pPr>
        <w:ind w:left="0" w:firstLine="482"/>
        <w:jc w:val="left"/>
        <w:pageBreakBefore w:val="0"/>
        <w:spacing w:line="490" w:lineRule="exact"/>
        <w:widowControl/>
        <w:rPr>
          <w:rFonts w:hint="eastAsia" w:asciiTheme="minorEastAsia" w:hAnsiTheme="minorEastAsia" w:eastAsiaTheme="minorEastAsia" w:cstheme="minorEastAsia"/>
          <w:b/>
          <w:bCs/>
          <w:color w:val="auto"/>
          <w:sz w:val="24"/>
          <w:szCs w:val="24"/>
        </w:rPr>
        <w:outlineLvl w:val="5"/>
      </w:pPr>
      <w:r>
        <w:rPr>
          <w:rFonts w:hint="eastAsia" w:asciiTheme="minorEastAsia" w:hAnsiTheme="minorEastAsia" w:eastAsiaTheme="minorEastAsia" w:cstheme="minorEastAsia"/>
          <w:b/>
          <w:bCs/>
          <w:color w:val="auto"/>
          <w:sz w:val="24"/>
          <w:szCs w:val="24"/>
        </w:rPr>
        <w:t xml:space="preserve">2.3.1.1基础数据</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(1)支持通过接口方式从外部系统采集数据。</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(2)支持维护 DRG成本核算所需的病案首页数据、病例分组情况、费用结算明细、支付标准、项目成本数据。</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(3)支持病组项目组合数据维护。</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rPr>
          <w:rFonts w:hint="eastAsia" w:asciiTheme="minorEastAsia" w:hAnsiTheme="minorEastAsia" w:cstheme="minorEastAsia"/>
          <w:color w:val="auto"/>
          <w:sz w:val="24"/>
          <w:szCs w:val="24"/>
          <w:highlight w:val="none"/>
          <w:lang w:val="en-US" w:eastAsia="zh-CN"/>
        </w:rPr>
        <w:t xml:space="preserve">支持</w:t>
      </w:r>
      <w:r>
        <w:rPr>
          <w:rFonts w:hint="eastAsia" w:asciiTheme="minorEastAsia" w:hAnsiTheme="minorEastAsia" w:eastAsiaTheme="minorEastAsia" w:cstheme="minorEastAsia"/>
          <w:color w:val="auto"/>
          <w:sz w:val="24"/>
          <w:szCs w:val="24"/>
          <w:highlight w:val="none"/>
        </w:rPr>
        <w:t xml:space="preserve">科</w:t>
      </w:r>
      <w:r>
        <w:rPr>
          <w:rFonts w:hint="eastAsia" w:asciiTheme="minorEastAsia" w:hAnsiTheme="minorEastAsia" w:eastAsiaTheme="minorEastAsia" w:cstheme="minorEastAsia"/>
          <w:color w:val="auto"/>
          <w:sz w:val="24"/>
          <w:szCs w:val="24"/>
        </w:rPr>
        <w:t xml:space="preserve">室 DRG分布情况功能，支持对科室收治 DRG病组信息进行采集维护。</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2.3.1.2成本计算</w:t>
      </w:r>
      <w:r/>
    </w:p>
    <w:p>
      <w:pPr>
        <w:ind w:left="0" w:firstLine="480"/>
        <w:jc w:val="left"/>
        <w:pageBreakBefore w:val="0"/>
        <w:spacing w:line="49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rPr>
        <w:t xml:space="preserve">(1)上核算方</w:t>
      </w:r>
      <w:r>
        <w:rPr>
          <w:rFonts w:hint="eastAsia" w:asciiTheme="minorEastAsia" w:hAnsiTheme="minorEastAsia" w:eastAsiaTheme="minorEastAsia" w:cstheme="minorEastAsia"/>
          <w:color w:val="auto"/>
          <w:sz w:val="24"/>
          <w:szCs w:val="24"/>
          <w:highlight w:val="none"/>
        </w:rPr>
        <w:t xml:space="preserve">案</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支持按任意时间段定义 DRG成本核算方案，进行DRG成本核算。</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支持同一时间段的 DRG成本核算按不同的项目成本实际方案、项目成本目标方案进行灵活核算。</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(2)实际成本计算</w:t>
      </w:r>
      <w:r/>
    </w:p>
    <w:p>
      <w:pPr>
        <w:ind w:left="0" w:firstLine="480"/>
        <w:jc w:val="left"/>
        <w:pageBreakBefore w:val="0"/>
        <w:spacing w:line="49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rPr>
        <w:t xml:space="preserve">支持病例成本计算，计算每份病历以及 DRG 组的总收费、总成本、总收益，以及医疗、单收费材料和药品的收费、成本和收益。</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支持科室级DRG 病组成本核算，将病人成本在科室层面按病种进行汇总，形成科室级DRG 病组总成本，科室级 DRG病组总成本等于科室该病种出院病人成本之和，科室级DRG病组单位成本等于科室级病种总成本除以科室病种病人数。</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支持院级 DRG 病组成本核算，将病人成本在全面层面按DRG病组进行汇总，形成院级DRG 病组总成本，院级 DRG病组总成本等于全院该病种出院病人成本之和，院级DRG病组单位成本等于院级病种总成本除以全院病种病人数。</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rPr>
        <w:t xml:space="preserve">支持结果校验，DRG成本计算完成后可对计算结果进行校验，包括平衡校验和同比校验。平衡校验实现从医疗收入与医疗总成本、门诊收入与门诊成本、住院收入与住院成本的平衡性方面进行校验</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投标时提供软件功能截图作为证明材料)。</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支持在成本发布前,可以反复修改方案并进行核算,数据发布后,对核算结果进行锁定，便于后续的数据查询、统计与分析</w:t>
      </w:r>
      <w:r>
        <w:rPr>
          <w:rFonts w:hint="eastAsia" w:asciiTheme="minorEastAsia" w:hAnsiTheme="minorEastAsia" w:eastAsiaTheme="minorEastAsia" w:cstheme="minorEastAsia"/>
          <w:color w:val="auto"/>
          <w:sz w:val="24"/>
          <w:szCs w:val="24"/>
          <w:lang w:eastAsia="zh-CN"/>
        </w:rPr>
        <w:t xml:space="preserve">。</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(3)目标成本计算</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支持目标成本计算，即根据临床路径计算的成本。</w:t>
      </w:r>
      <w:r/>
    </w:p>
    <w:p>
      <w:pPr>
        <w:ind w:left="0" w:firstLine="482"/>
        <w:jc w:val="left"/>
        <w:pageBreakBefore w:val="0"/>
        <w:spacing w:line="490" w:lineRule="exact"/>
        <w:widowControl/>
        <w:rPr>
          <w:rFonts w:hint="eastAsia" w:asciiTheme="minorEastAsia" w:hAnsiTheme="minorEastAsia" w:eastAsiaTheme="minorEastAsia" w:cstheme="minorEastAsia"/>
          <w:b/>
          <w:bCs/>
          <w:color w:val="auto"/>
          <w:sz w:val="24"/>
          <w:szCs w:val="24"/>
        </w:rPr>
        <w:outlineLvl w:val="5"/>
      </w:pPr>
      <w:r>
        <w:rPr>
          <w:rFonts w:hint="eastAsia" w:asciiTheme="minorEastAsia" w:hAnsiTheme="minorEastAsia" w:eastAsiaTheme="minorEastAsia" w:cstheme="minorEastAsia"/>
          <w:b/>
          <w:bCs/>
          <w:color w:val="auto"/>
          <w:sz w:val="24"/>
          <w:szCs w:val="24"/>
        </w:rPr>
        <w:t xml:space="preserve">2.3.1.3核算模型</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(1)支持科室DRG模型设置，根据DRG项目组合和项目目标成本，采用项目叠加法计算 DRG组的资源模型。</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(2)支持院级DRG 模型设置，在计算形成的资源模型基础上，生成标准的DRG资源模</w:t>
      </w:r>
      <w:r>
        <w:rPr>
          <w:rFonts w:hint="eastAsia" w:asciiTheme="minorEastAsia" w:hAnsiTheme="minorEastAsia" w:cstheme="minorEastAsia"/>
          <w:color w:val="auto"/>
          <w:sz w:val="24"/>
          <w:szCs w:val="24"/>
          <w:lang w:val="en-US" w:eastAsia="zh-CN"/>
        </w:rPr>
        <w:t xml:space="preserve">型</w:t>
      </w:r>
      <w:r>
        <w:rPr>
          <w:rFonts w:hint="eastAsia" w:asciiTheme="minorEastAsia" w:hAnsiTheme="minorEastAsia" w:eastAsiaTheme="minorEastAsia" w:cstheme="minorEastAsia"/>
          <w:color w:val="auto"/>
          <w:sz w:val="24"/>
          <w:szCs w:val="24"/>
        </w:rPr>
        <w:t xml:space="preserve">。</w:t>
      </w:r>
      <w:r/>
    </w:p>
    <w:p>
      <w:pPr>
        <w:ind w:left="0" w:firstLine="482"/>
        <w:jc w:val="left"/>
        <w:pageBreakBefore w:val="0"/>
        <w:spacing w:line="490" w:lineRule="exact"/>
        <w:widowControl/>
        <w:rPr>
          <w:rFonts w:hint="eastAsia" w:asciiTheme="minorEastAsia" w:hAnsiTheme="minorEastAsia" w:eastAsiaTheme="minorEastAsia" w:cstheme="minorEastAsia"/>
          <w:b/>
          <w:bCs/>
          <w:color w:val="auto"/>
          <w:sz w:val="24"/>
          <w:szCs w:val="24"/>
        </w:rPr>
        <w:outlineLvl w:val="5"/>
      </w:pPr>
      <w:r>
        <w:rPr>
          <w:rFonts w:hint="eastAsia" w:asciiTheme="minorEastAsia" w:hAnsiTheme="minorEastAsia" w:eastAsiaTheme="minorEastAsia" w:cstheme="minorEastAsia"/>
          <w:b/>
          <w:bCs/>
          <w:color w:val="auto"/>
          <w:sz w:val="24"/>
          <w:szCs w:val="24"/>
        </w:rPr>
        <w:t xml:space="preserve">2.3.1.4成本报表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(1)支持 DRG 成本盈亏分析，从全院病例数、入组情况、及盈亏整体情况，从各科室病例数、入组情况、及盈亏整体情况，从各MDC病例数、入组情况、及盈亏整体情况，从全院及各科室，各个权重段的盈亏情况。</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 DRG成本收益分析，从全院角度对各个DRG的收入、成本、收益情况进行分析以及从科室角度对各个 DRG 的收入、成本、收益情况进行分析。</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(3)支持DRG成本趋势分析，从全院、科室、责任医师三个角度，对具体DRG组的病</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例数、病例数占比、平均住院日、例均收入、例均成本、例均结余的变化趋势进行分析。(4)支持DRG成本构成分析，从全院、科室、责任医师三个角度，对 DRG 病组的人员经费、药品成本、材料成本、固定资产折旧、无形资产摊销、其他费用的金额及占比进行分析”</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(5)支持DRG 成本控制分析，按收入排名、病例数排名对DRG病组的病例数、平均住院日、收入、成本、收益进行分析。</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cstheme="minorEastAsia"/>
          <w:color w:val="auto"/>
          <w:sz w:val="24"/>
          <w:szCs w:val="24"/>
          <w:highlight w:val="none"/>
          <w:lang w:val="en-US" w:eastAsia="zh-CN"/>
        </w:rPr>
        <w:t xml:space="preserve">支持</w:t>
      </w:r>
      <w:r>
        <w:rPr>
          <w:rFonts w:hint="eastAsia" w:asciiTheme="minorEastAsia" w:hAnsiTheme="minorEastAsia" w:eastAsiaTheme="minorEastAsia" w:cstheme="minorEastAsia"/>
          <w:color w:val="auto"/>
          <w:sz w:val="24"/>
          <w:szCs w:val="24"/>
          <w:highlight w:val="none"/>
        </w:rPr>
        <w:t xml:space="preserve">《关于印发&lt;公立医院成本核算指导手册&gt;的通知》(国卫办财务函(2023)377号)文件要求的公立医院 DRG 成本报表。</w:t>
      </w:r>
      <w:r/>
    </w:p>
    <w:p>
      <w:pPr>
        <w:ind w:left="0" w:firstLine="480"/>
        <w:jc w:val="left"/>
        <w:pageBreakBefore w:val="0"/>
        <w:spacing w:line="49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rPr>
        <w:t xml:space="preserve">(7)支持核算结果分析，包括病人核算结果、科室 DRG核算结果、院级DRG 核算结果。病人核算结果支持对选定的病人核算数据提供盈亏统计、分类收益、空间成本、成本明细等数据深入挖掘功能:科室 DRG 核算结果支持对选定的出院科室DRG核算数据提供分类收益、空间成本、病种分析、医生分析、成本明细等数据深入挖掘功能</w:t>
      </w:r>
      <w:r>
        <w:rPr>
          <w:rFonts w:hint="eastAsia" w:asciiTheme="minorEastAsia" w:hAnsi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院级 DRG 核算结果支持对选定的DRG核算数据提供分类收益、空间成本、病种分析、医生分析等数据深</w:t>
      </w:r>
      <w:r>
        <w:rPr>
          <w:rFonts w:hint="eastAsia" w:asciiTheme="minorEastAsia" w:hAnsiTheme="minorEastAsia" w:eastAsiaTheme="minorEastAsia" w:cstheme="minorEastAsia"/>
          <w:color w:val="auto"/>
          <w:sz w:val="24"/>
          <w:szCs w:val="24"/>
          <w:highlight w:val="none"/>
        </w:rPr>
        <w:t xml:space="preserve">入挖掘功能。</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(8)所有DRG成本报表均支持按excel、pdf、csv格式进行导出。</w:t>
      </w:r>
      <w:r/>
    </w:p>
    <w:p>
      <w:pPr>
        <w:ind w:left="0" w:firstLine="482"/>
        <w:jc w:val="left"/>
        <w:pageBreakBefore w:val="0"/>
        <w:spacing w:line="490" w:lineRule="exact"/>
        <w:widowControl/>
        <w:rPr>
          <w:rFonts w:hint="eastAsia" w:asciiTheme="minorEastAsia" w:hAnsiTheme="minorEastAsia" w:cstheme="minorEastAsia"/>
          <w:b/>
          <w:bCs/>
          <w:color w:val="auto"/>
          <w:sz w:val="24"/>
          <w:szCs w:val="24"/>
          <w:highlight w:val="none"/>
          <w:lang w:val="en-US" w:eastAsia="zh-CN"/>
        </w:rPr>
        <w:outlineLvl w:val="5"/>
      </w:pPr>
      <w:r>
        <w:rPr>
          <w:rFonts w:hint="eastAsia" w:asciiTheme="minorEastAsia" w:hAnsiTheme="minorEastAsia" w:cstheme="minorEastAsia"/>
          <w:b/>
          <w:bCs/>
          <w:color w:val="auto"/>
          <w:sz w:val="24"/>
          <w:szCs w:val="24"/>
          <w:highlight w:val="none"/>
          <w:lang w:val="en-US" w:eastAsia="zh-CN"/>
        </w:rPr>
        <w:t xml:space="preserve">2.3.1.5分析报告</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ind w:left="0" w:firstLine="480"/>
        <w:jc w:val="left"/>
        <w:pageBreakBefore w:val="0"/>
        <w:spacing w:line="490" w:lineRule="exact"/>
        <w:widowControl/>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(1)提供分析报告模板设置功能，支持自定义DRG成本分析报告模板。</w:t>
      </w:r>
      <w:r/>
    </w:p>
    <w:p>
      <w:pPr>
        <w:ind w:left="0" w:firstLine="480"/>
        <w:jc w:val="left"/>
        <w:pageBreakBefore w:val="0"/>
        <w:spacing w:line="490" w:lineRule="exact"/>
        <w:widowControl/>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(2)提供分析报告生成功能，支持根据选定的分析报告模板以及设定的核算期间、成本级次、费用类型生成或预览分析报告。</w:t>
      </w:r>
      <w:r/>
    </w:p>
    <w:p>
      <w:pPr>
        <w:ind w:left="0" w:firstLine="480"/>
        <w:jc w:val="left"/>
        <w:pageBreakBefore w:val="0"/>
        <w:spacing w:line="490" w:lineRule="exact"/>
        <w:widowControl/>
        <w:rPr>
          <w:rFonts w:hint="default" w:asciiTheme="minorEastAsia" w:hAnsiTheme="minorEastAsia" w:eastAsiaTheme="minorEastAsia" w:cstheme="minorEastAsia"/>
          <w:b w:val="0"/>
          <w:color w:val="auto"/>
          <w:sz w:val="24"/>
          <w:szCs w:val="24"/>
          <w:lang w:val="en-US" w:eastAsia="zh-CN" w:bidi="ar-SA"/>
        </w:rPr>
      </w:pPr>
      <w:r>
        <w:rPr>
          <w:rFonts w:hint="default" w:asciiTheme="minorEastAsia" w:hAnsiTheme="minorEastAsia" w:eastAsiaTheme="minorEastAsia" w:cstheme="minorEastAsia"/>
          <w:color w:val="auto"/>
          <w:sz w:val="24"/>
          <w:szCs w:val="24"/>
          <w:highlight w:val="none"/>
          <w:lang w:val="en-US" w:eastAsia="zh-CN"/>
        </w:rPr>
        <w:t xml:space="preserve">(3)提供分析报告查</w:t>
      </w:r>
      <w:r>
        <w:rPr>
          <w:rFonts w:hint="default" w:asciiTheme="minorEastAsia" w:hAnsiTheme="minorEastAsia" w:eastAsiaTheme="minorEastAsia" w:cstheme="minorEastAsia"/>
          <w:color w:val="auto"/>
          <w:sz w:val="24"/>
          <w:szCs w:val="24"/>
          <w:lang w:val="en-US" w:eastAsia="zh-CN"/>
        </w:rPr>
        <w:t xml:space="preserve">询功能，支持查询和下载分析报告。</w:t>
      </w:r>
      <w:r/>
    </w:p>
    <w:p>
      <w:pPr>
        <w:ind w:left="0" w:firstLine="482"/>
        <w:jc w:val="left"/>
        <w:pageBreakBefore w:val="0"/>
        <w:spacing w:line="490" w:lineRule="exact"/>
        <w:widowControl/>
        <w:rPr>
          <w:rFonts w:hint="eastAsia" w:asciiTheme="minorEastAsia" w:hAnsiTheme="minorEastAsia" w:eastAsiaTheme="minorEastAsia" w:cstheme="minorEastAsia"/>
          <w:b/>
          <w:bCs/>
          <w:color w:val="auto"/>
          <w:sz w:val="24"/>
          <w:szCs w:val="24"/>
          <w:highlight w:val="none"/>
        </w:rPr>
        <w:outlineLvl w:val="5"/>
      </w:pPr>
      <w:r>
        <w:rPr>
          <w:rFonts w:hint="eastAsia" w:asciiTheme="minorEastAsia" w:hAnsiTheme="minorEastAsia" w:eastAsiaTheme="minorEastAsia" w:cstheme="minorEastAsia"/>
          <w:b/>
          <w:bCs/>
          <w:color w:val="auto"/>
          <w:sz w:val="24"/>
          <w:szCs w:val="24"/>
          <w:highlight w:val="none"/>
        </w:rPr>
        <w:t xml:space="preserve">2.3.1.</w:t>
      </w:r>
      <w:r>
        <w:rPr>
          <w:rFonts w:hint="eastAsia" w:asciiTheme="minorEastAsia" w:hAnsi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基础设置</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（1）支持 DRG成本核算相关的参数设置，包括:药品管理成本分摊依据、支持设置病历差异范围值、药品计算方法设置、DRG单收费材料计算方法设置、支持启用多院区设置。</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(2)支持维护加成率。</w:t>
      </w:r>
      <w:r/>
    </w:p>
    <w:p>
      <w:pPr>
        <w:ind w:left="0" w:firstLine="482"/>
        <w:pageBreakBefore w:val="0"/>
        <w:spacing w:line="490" w:lineRule="exact"/>
        <w:rPr>
          <w:rFonts w:hint="eastAsia" w:asciiTheme="minorEastAsia" w:hAnsiTheme="minorEastAsia" w:eastAsiaTheme="minorEastAsia" w:cstheme="minorEastAsia"/>
          <w:b/>
          <w:bCs/>
          <w:color w:val="auto"/>
          <w:sz w:val="24"/>
          <w:szCs w:val="24"/>
        </w:rPr>
        <w:outlineLvl w:val="4"/>
      </w:pPr>
      <w:r/>
      <w:bookmarkStart w:id="207" w:name="_Toc107589222"/>
      <w:r/>
      <w:bookmarkStart w:id="208" w:name="_Toc97643096"/>
      <w:r>
        <w:rPr>
          <w:rFonts w:hint="eastAsia" w:asciiTheme="minorEastAsia" w:hAnsiTheme="minorEastAsia" w:eastAsiaTheme="minorEastAsia" w:cstheme="minorEastAsia"/>
          <w:b/>
          <w:bCs/>
          <w:color w:val="auto"/>
          <w:sz w:val="24"/>
          <w:szCs w:val="24"/>
        </w:rPr>
        <w:t xml:space="preserve">2.3.2成本收入比法</w:t>
      </w:r>
      <w:bookmarkEnd w:id="207"/>
      <w:r/>
      <w:bookmarkEnd w:id="208"/>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系统能支持按时间区间（如每季度一次）计算医院的全部住院DRG成本。</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能对接DRG分组结果，建立DRG病种组、服务单元、服务项目等基础信息，为病种成本核算</w:t>
      </w:r>
      <w:r>
        <w:rPr>
          <w:rFonts w:hint="eastAsia" w:asciiTheme="minorEastAsia" w:hAnsiTheme="minorEastAsia" w:eastAsiaTheme="minorEastAsia" w:cstheme="minorEastAsia"/>
          <w:color w:val="auto"/>
          <w:sz w:val="24"/>
          <w:szCs w:val="24"/>
          <w:highlight w:val="none"/>
        </w:rPr>
        <w:t xml:space="preserve">提供计</w:t>
      </w:r>
      <w:r>
        <w:rPr>
          <w:rFonts w:hint="eastAsia" w:asciiTheme="minorEastAsia" w:hAnsiTheme="minorEastAsia" w:eastAsiaTheme="minorEastAsia" w:cstheme="minorEastAsia"/>
          <w:color w:val="auto"/>
          <w:sz w:val="24"/>
          <w:szCs w:val="24"/>
        </w:rPr>
        <w:t xml:space="preserve">算基础。</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建立与外部系统的数据连接，能够采集病案信息、收入数据、成本数据等数据信息，为病种成本核算提供数据来源。</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建立多维度，多角度的分析平台，利用平台从收入构成、成本构成、效益分析、趋势分析等维度对医院及科室的病种结构构成及难度系数构成、医院及科室的病种收益情况、同一病种在不同科室的成本，每一个病历的成本构成情况，为医院管理及业务有效提供重要的数据参考。完成国家及江苏省要求的相关成本报表。</w:t>
      </w:r>
      <w:r/>
    </w:p>
    <w:p>
      <w:pPr>
        <w:ind w:left="0" w:firstLine="482"/>
        <w:jc w:val="left"/>
        <w:pageBreakBefore w:val="0"/>
        <w:spacing w:line="490" w:lineRule="exact"/>
        <w:widowControl/>
        <w:rPr>
          <w:rFonts w:hint="eastAsia" w:asciiTheme="minorEastAsia" w:hAnsiTheme="minorEastAsia" w:eastAsiaTheme="minorEastAsia" w:cstheme="minorEastAsia"/>
          <w:b/>
          <w:bCs/>
          <w:color w:val="auto"/>
          <w:sz w:val="24"/>
          <w:szCs w:val="24"/>
        </w:rPr>
        <w:outlineLvl w:val="5"/>
      </w:pPr>
      <w:r>
        <w:rPr>
          <w:rFonts w:hint="eastAsia" w:asciiTheme="minorEastAsia" w:hAnsiTheme="minorEastAsia" w:eastAsiaTheme="minorEastAsia" w:cstheme="minorEastAsia"/>
          <w:b/>
          <w:bCs/>
          <w:color w:val="auto"/>
          <w:sz w:val="24"/>
          <w:szCs w:val="24"/>
        </w:rPr>
        <w:t xml:space="preserve">2.3.2.1基础数据维护</w:t>
      </w:r>
      <w:r>
        <w:rPr>
          <w:rFonts w:hint="eastAsia" w:asciiTheme="minorEastAsia" w:hAnsiTheme="minorEastAsia" w:eastAsiaTheme="minorEastAsia" w:cstheme="minorEastAsia"/>
          <w:b/>
          <w:bCs/>
          <w:color w:val="auto"/>
          <w:sz w:val="24"/>
          <w:szCs w:val="24"/>
        </w:rPr>
        <w:tab/>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（1）系统支持和其他相关业务系统建立接口，每月自动获取DRG成本核算所需的病案首页数据、病例分组情况、费用结算明细、项目成本数据，若无法建立接口，系统支持按照模板导入数据；</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（2）支持科室、项目、DRG成本核算数据同源，与科室成本核算共用患者收费明细数据；</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（3）支持接入患者DRG结算数据，用实际结算数据与患者成本形成对比，形成真实的收入与成本分析。</w:t>
      </w:r>
      <w:r/>
    </w:p>
    <w:p>
      <w:pPr>
        <w:ind w:left="0" w:firstLine="482"/>
        <w:jc w:val="left"/>
        <w:pageBreakBefore w:val="0"/>
        <w:spacing w:line="490" w:lineRule="exact"/>
        <w:widowControl/>
        <w:rPr>
          <w:rFonts w:hint="eastAsia" w:asciiTheme="minorEastAsia" w:hAnsiTheme="minorEastAsia" w:eastAsiaTheme="minorEastAsia" w:cstheme="minorEastAsia"/>
          <w:b/>
          <w:bCs/>
          <w:color w:val="auto"/>
          <w:sz w:val="24"/>
          <w:szCs w:val="24"/>
        </w:rPr>
        <w:outlineLvl w:val="5"/>
      </w:pPr>
      <w:r>
        <w:rPr>
          <w:rFonts w:hint="eastAsia" w:asciiTheme="minorEastAsia" w:hAnsiTheme="minorEastAsia" w:eastAsiaTheme="minorEastAsia" w:cstheme="minorEastAsia"/>
          <w:b/>
          <w:bCs/>
          <w:color w:val="auto"/>
          <w:sz w:val="24"/>
          <w:szCs w:val="24"/>
        </w:rPr>
        <w:t xml:space="preserve">2.3.2.2成本计算</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（1）支持按任意时间段定义病种成本核算方案，进行DRG成本核算；</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（2）同时支持医技科室建立科室级CCR模型、临床科室建立作业级CCR模型，适应不同类别科室的业务特点，更好地反应成本与收入的相关性；</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（3）支持病人个案成本核算，叠加病人涉及作业中心成本及药品成本和材料成本从而计算出病人病例成本；</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rPr>
        <w:t xml:space="preserve">（4）支持科室级DRG病组成本核算，将病人成本在科室层面按病种进行汇总，形成科室级DRG病组总成本，科室级DRG病组总成本等于科室该病种出院病人成本之和，科室级DRG病组单位成本等于科室级病种总成本除以科室病种病人</w:t>
      </w:r>
      <w:r>
        <w:rPr>
          <w:rFonts w:hint="eastAsia" w:asciiTheme="minorEastAsia" w:hAnsiTheme="minorEastAsia" w:eastAsiaTheme="minorEastAsia" w:cstheme="minorEastAsia"/>
          <w:color w:val="auto"/>
          <w:sz w:val="24"/>
          <w:szCs w:val="24"/>
          <w:highlight w:val="none"/>
        </w:rPr>
        <w:t xml:space="preserve">数</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（5）支持院级DRG病组成本核算，将病人成本在全面层面按DRG病组进行汇总，形成院级DRG 病组总成本，院级DRG病组总成本等于全院该病种出院病人成本之和，院级DRG病组单位成本等于院级病种总成本除以全院病种病人数；</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（6）支持在成本发布前，可以反复修改方案并进行核算，数据发布后，对核算结果进行锁定，便后后续的数据查询、统计与分析。</w:t>
      </w:r>
      <w:r/>
    </w:p>
    <w:p>
      <w:pPr>
        <w:ind w:left="0" w:firstLine="482"/>
        <w:jc w:val="left"/>
        <w:pageBreakBefore w:val="0"/>
        <w:spacing w:line="490" w:lineRule="exact"/>
        <w:widowControl/>
        <w:rPr>
          <w:rFonts w:hint="eastAsia" w:asciiTheme="minorEastAsia" w:hAnsiTheme="minorEastAsia" w:eastAsiaTheme="minorEastAsia" w:cstheme="minorEastAsia"/>
          <w:b/>
          <w:bCs/>
          <w:color w:val="auto"/>
          <w:sz w:val="24"/>
          <w:szCs w:val="24"/>
        </w:rPr>
        <w:outlineLvl w:val="5"/>
      </w:pPr>
      <w:r>
        <w:rPr>
          <w:rFonts w:hint="eastAsia" w:asciiTheme="minorEastAsia" w:hAnsiTheme="minorEastAsia" w:eastAsiaTheme="minorEastAsia" w:cstheme="minorEastAsia"/>
          <w:b/>
          <w:bCs/>
          <w:color w:val="auto"/>
          <w:sz w:val="24"/>
          <w:szCs w:val="24"/>
        </w:rPr>
        <w:t xml:space="preserve">2.3.2.3成本报表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（1）满足《公立医院成本核算指导手册》国卫办财务函(2023]377号文件中要求的公立医院DRG 成本报表；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（2）支持DRG成本盈亏分析，从全院病例数、入组情况、及盈亏整体情况，从各科室病例数、入组情况、及盈亏整体情况， 从各MDC病例数、入组情况、及盈亏整体情况，从全院及各科室，各个权重段的盈亏情况；</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（3）支持DRG成本收益分析，从全院角度对各个DRG的收入、成本、收益情况进行分析以及从科室角度对各个DRG的收入、成本、收益情况进行分析；</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（4）支持DRG成本趋势分析，从全院、科室、责任医师三个角度，对具体DRG组的病例数、病例数占比、平均住院日、例均收入、例均成本、例均结余的变化趋势进行分析；</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（5）支持DRG成本构成分析，从全院、科室、责任医师三个角度，对DRG病组的人员经费、药品成本、材料成本、固定资产折旧、无形资产摊销、其他费用的金额及占比进行分析；</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（6）支持DRG成本控制分析，按收入排名、病例数排名对DRG病组的病例数、平均住院日、收入、成本、收益进行分析；</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（7）支持成本费率分析，按科室资源费率费分析、科室作业费率分析、院级费率分析、科室级DRG作业费率费分析、院级DRG作业费率费分析及协作成本分析；</w:t>
      </w:r>
      <w:r/>
    </w:p>
    <w:p>
      <w:pPr>
        <w:ind w:left="0" w:firstLine="480"/>
        <w:jc w:val="left"/>
        <w:pageBreakBefore w:val="0"/>
        <w:spacing w:line="49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rPr>
        <w:t xml:space="preserve">(8)支持院级 DRG病组成本的结果，按病组分类、病例数、平均住院日、医保支付率、成本覆盖率、药耗占比、收入、费用、成本、收益进行分析。</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(9)支持从科室级 DRG病组成本的结果入手，从DRG病组下分析病人维度，在病人维度基础上可继续支持按时间序列分析及费用明细分析;从DRG病组下分析病种维度，在病种维度基础上可继续支持整体分析、分类分析、明细分析;从</w:t>
      </w:r>
      <w:r>
        <w:rPr>
          <w:rFonts w:hint="eastAsia" w:asciiTheme="minorEastAsia" w:hAnsiTheme="minorEastAsia" w:eastAsiaTheme="minorEastAsia" w:cstheme="minorEastAsia"/>
          <w:color w:val="auto"/>
          <w:sz w:val="24"/>
          <w:szCs w:val="24"/>
          <w:highlight w:val="none"/>
        </w:rPr>
        <w:t xml:space="preserve">DRG病组下生维度分析，在医生维度基础上可基础支持整体分析、分类分析、明细分析。</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提供软件功能截图作为证明材料)</w:t>
      </w:r>
      <w:r/>
    </w:p>
    <w:p>
      <w:pPr>
        <w:ind w:left="0" w:firstLine="480"/>
        <w:jc w:val="left"/>
        <w:pageBreakBefore w:val="0"/>
        <w:spacing w:line="490" w:lineRule="exact"/>
        <w:widowControl/>
        <w:rPr>
          <w:rFonts w:hint="eastAsia" w:asciiTheme="minorEastAsia" w:hAnsi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(10)支持从病人的核算结果入手，按成本明细对具体涉及作业中心费率、病人费用和病人成本进行分析</w:t>
      </w:r>
      <w:r>
        <w:rPr>
          <w:rFonts w:hint="eastAsia" w:asciiTheme="minorEastAsia" w:hAnsiTheme="minorEastAsia" w:cstheme="minorEastAsia"/>
          <w:color w:val="auto"/>
          <w:sz w:val="24"/>
          <w:szCs w:val="24"/>
          <w:lang w:eastAsia="zh-CN"/>
        </w:rPr>
        <w:t xml:space="preserve">；</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(11)所有报表均支持按excel、pdf、csv格式进行导出。</w:t>
      </w:r>
      <w:r/>
    </w:p>
    <w:p>
      <w:pPr>
        <w:ind w:left="0" w:firstLine="482"/>
        <w:jc w:val="left"/>
        <w:pageBreakBefore w:val="0"/>
        <w:spacing w:line="490" w:lineRule="exact"/>
        <w:widowControl/>
        <w:rPr>
          <w:rFonts w:hint="eastAsia" w:asciiTheme="minorEastAsia" w:hAnsiTheme="minorEastAsia" w:eastAsiaTheme="minorEastAsia" w:cstheme="minorEastAsia"/>
          <w:b/>
          <w:bCs/>
          <w:color w:val="auto"/>
          <w:sz w:val="24"/>
          <w:szCs w:val="24"/>
        </w:rPr>
        <w:outlineLvl w:val="5"/>
      </w:pPr>
      <w:r>
        <w:rPr>
          <w:rFonts w:hint="eastAsia" w:asciiTheme="minorEastAsia" w:hAnsiTheme="minorEastAsia" w:eastAsiaTheme="minorEastAsia" w:cstheme="minorEastAsia"/>
          <w:b/>
          <w:bCs/>
          <w:color w:val="auto"/>
          <w:sz w:val="24"/>
          <w:szCs w:val="24"/>
        </w:rPr>
        <w:t xml:space="preserve">2.3.2.4基础设置</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(1)支持DRG成本核算相关的参数设置;包括:科室成本数据采集方式、是否启用多</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院区;</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(2)支持维护加成率的维护。</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(3)支持费率科室及费率科室与科室成本科室关系设置;</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(4)支持定义资源中心，已内置医生、护士、床位三个资源中心;</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(5)支持定义作业中心，及设置费率科室与医辅活动类作业、医技活动类作业关系，资源中心与作业关系设置。</w:t>
      </w:r>
      <w:r/>
    </w:p>
    <w:p>
      <w:pPr>
        <w:pStyle w:val="631"/>
        <w:numPr>
          <w:ilvl w:val="3"/>
          <w:numId w:val="0"/>
        </w:numPr>
        <w:ind w:left="0" w:firstLine="482"/>
        <w:pageBreakBefore w:val="0"/>
        <w:spacing w:before="0" w:after="0"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2.4成本核算战略决策分析</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在完成国家成本管理要求的相关制度报表的基础上，为了将成本核算的成果应用到医院管理的实际场景中，决策分析系统需向院领导和科室主任提供决策支持的下列相关报表：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《临床科室收支结余表》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《医技科室收支结余表》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《院级医疗服务项目分类成本收益表》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《科室医疗服务项目盈亏情况汇总表》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《院级医疗服务项目收益排名分析表（前50）》</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《院级无保本点医疗服务项目排名分析表（前50）》</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《全院DRG成本核算结果盈亏分析表》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《全院各MDC核算结果盈亏统计表》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《院级DRG优势病组盈亏分析表》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《院级DRG重点关注病组盈亏分析表》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《院级DRG潜力病组盈亏分析表》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《院级DRG劣势病组盈亏分析表》</w:t>
      </w:r>
      <w:r/>
    </w:p>
    <w:p>
      <w:pPr>
        <w:ind w:left="0" w:firstLine="480"/>
        <w:jc w:val="left"/>
        <w:pageBreakBefore w:val="0"/>
        <w:spacing w:line="49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《临床科室DRG病组盈亏统计表》。</w:t>
      </w:r>
      <w:r/>
    </w:p>
    <w:p>
      <w:pPr>
        <w:pStyle w:val="630"/>
        <w:numPr>
          <w:ilvl w:val="2"/>
          <w:numId w:val="0"/>
        </w:numPr>
        <w:ind w:left="0" w:firstLine="482"/>
        <w:pageBreakBefore w:val="0"/>
        <w:spacing w:before="0" w:after="0" w:line="49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三、其他</w:t>
      </w:r>
      <w:r/>
    </w:p>
    <w:p>
      <w:pPr>
        <w:ind w:left="0" w:firstLine="480"/>
        <w:pageBreakBefore w:val="0"/>
        <w:spacing w:beforeAutospacing="0" w:afterAutospacing="0" w:line="49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为保证医院全成本核算数据的完整性和连续性，中标方产品必须和医院已建设的科室成本模块无缝融合。另，中标单位须负责和医院HIS、财务、病案等相关系统的对接，费用自行承担。</w:t>
      </w:r>
      <w:r/>
    </w:p>
    <w:p>
      <w:pPr>
        <w:rPr>
          <w:rFonts w:ascii="宋体" w:hAnsi="宋体" w:eastAsia="宋体" w:cs="宋体"/>
        </w:rPr>
      </w:pPr>
      <w:r>
        <w:rPr>
          <w:rFonts w:ascii="宋体" w:hAnsi="宋体" w:eastAsia="宋体" w:cs="宋体"/>
        </w:rPr>
      </w:r>
      <w:r/>
    </w:p>
    <w:p>
      <w:pPr>
        <w:jc w:val="center"/>
        <w:spacing w:line="0" w:lineRule="atLeast"/>
        <w:rPr>
          <w:rFonts w:ascii="宋体" w:hAnsi="宋体" w:eastAsia="宋体" w:cs="宋体"/>
          <w:b/>
          <w:bCs/>
          <w:sz w:val="24"/>
        </w:rPr>
      </w:pPr>
      <w:r>
        <w:rPr>
          <w:rFonts w:hint="eastAsia" w:ascii="宋体" w:hAnsi="宋体" w:eastAsia="宋体" w:cs="宋体"/>
          <w:b/>
          <w:bCs/>
          <w:sz w:val="24"/>
        </w:rPr>
        <w:t xml:space="preserve">采购标的对应的中小企业划分标准所属行业一览表</w:t>
      </w:r>
      <w:r/>
    </w:p>
    <w:p>
      <w:pPr>
        <w:pStyle w:val="644"/>
      </w:pPr>
      <w:r/>
      <w:r/>
    </w:p>
    <w:tbl>
      <w:tblPr>
        <w:tblStyle w:val="633"/>
        <w:tblW w:w="842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72"/>
        <w:gridCol w:w="3669"/>
        <w:gridCol w:w="3785"/>
      </w:tblGrid>
      <w:tr>
        <w:trPr>
          <w:jc w:val="center"/>
          <w:tblCellSpacing w:w="0" w:type="dxa"/>
          <w:trHeight w:val="99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643"/>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643"/>
              <w:ind w:firstLine="480"/>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85" w:type="dxa"/>
            <w:vAlign w:val="center"/>
            <w:textDirection w:val="lrTb"/>
            <w:noWrap w:val="false"/>
          </w:tcPr>
          <w:p>
            <w:pPr>
              <w:pStyle w:val="643"/>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jc w:val="center"/>
          <w:tblCellSpacing w:w="0" w:type="dxa"/>
          <w:trHeight w:val="626"/>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643"/>
              <w:jc w:val="both"/>
              <w:spacing w:beforeAutospacing="0" w:afterAutospacing="0" w:line="0" w:lineRule="atLeast"/>
              <w:rPr>
                <w:rFonts w:hint="eastAsia" w:ascii="宋体" w:hAnsi="宋体" w:eastAsia="宋体" w:cs="宋体"/>
                <w:lang w:eastAsia="zh-CN"/>
              </w:rPr>
            </w:pPr>
            <w:r>
              <w:rPr>
                <w:rFonts w:hint="eastAsia" w:ascii="宋体" w:hAnsi="宋体" w:eastAsia="宋体" w:cs="宋体"/>
                <w:sz w:val="18"/>
                <w:szCs w:val="18"/>
                <w:lang w:eastAsia="zh-CN"/>
              </w:rPr>
              <w:t xml:space="preserve">滨海县人民医院项目成本、病种成本系统建设项目</w:t>
            </w:r>
            <w:r/>
          </w:p>
        </w:tc>
        <w:tc>
          <w:tcPr>
            <w:shd w:val="clear" w:color="auto" w:fill="auto"/>
            <w:tcBorders>
              <w:top w:val="single" w:color="000000" w:sz="4" w:space="0"/>
              <w:left w:val="single" w:color="000000" w:sz="4" w:space="0"/>
              <w:bottom w:val="single" w:color="000000" w:sz="4" w:space="0"/>
              <w:right w:val="single" w:color="000000" w:sz="4" w:space="0"/>
            </w:tcBorders>
            <w:tcW w:w="3785"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sz w:val="18"/>
                <w:szCs w:val="18"/>
              </w:rPr>
              <w:t xml:space="preserve">软件和信息技术服务业</w:t>
            </w:r>
            <w:r/>
          </w:p>
        </w:tc>
      </w:tr>
    </w:tbl>
    <w:p>
      <w:pPr>
        <w:pStyle w:val="643"/>
        <w:ind w:firstLine="480"/>
        <w:jc w:val="both"/>
        <w:spacing w:beforeAutospacing="0" w:afterAutospacing="0" w:line="0" w:lineRule="atLeast"/>
        <w:rPr>
          <w:rFonts w:ascii="宋体" w:hAnsi="宋体" w:eastAsia="宋体" w:cs="宋体"/>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rPr>
      </w:r>
      <w:r/>
    </w:p>
    <w:p>
      <w:pPr>
        <w:pStyle w:val="643"/>
        <w:ind w:firstLine="602"/>
        <w:jc w:val="both"/>
        <w:spacing w:beforeAutospacing="0" w:afterAutospacing="0"/>
        <w:rPr>
          <w:rFonts w:ascii="宋体" w:hAnsi="宋体" w:eastAsia="宋体" w:cs="宋体"/>
        </w:rPr>
      </w:pPr>
      <w:r>
        <w:rPr>
          <w:rFonts w:ascii="宋体" w:hAnsi="宋体" w:eastAsia="宋体" w:cs="宋体"/>
        </w:rPr>
      </w:r>
      <w:r/>
    </w:p>
    <w:p>
      <w:pPr>
        <w:pStyle w:val="643"/>
        <w:jc w:val="center"/>
        <w:keepNext/>
        <w:spacing w:beforeAutospacing="0" w:afterAutospacing="0"/>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643"/>
        <w:jc w:val="both"/>
        <w:spacing w:beforeAutospacing="0" w:afterAutospacing="0"/>
      </w:pPr>
      <w:r>
        <w:t xml:space="preserve"> </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yellow"/>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最低评标价</w:t>
      </w:r>
      <w:r>
        <w:rPr>
          <w:rFonts w:hint="eastAsia" w:ascii="宋体" w:hAnsi="宋体" w:eastAsia="宋体" w:cs="宋体"/>
          <w:bCs/>
          <w:color w:val="auto"/>
          <w:sz w:val="24"/>
          <w:szCs w:val="24"/>
          <w:highlight w:val="none"/>
        </w:rPr>
        <w:t xml:space="preserve"> 法。评标委员会对满足招标文件实质性要求的投标文件，按照本招标文件规定的要求进行评审，并按最终通过评审的评标价由低到高顺序推荐中标候选人。最低评标报价相等的，由招标人确定，本项目选取1名中标候选人。</w:t>
      </w:r>
      <w:r/>
    </w:p>
    <w:p>
      <w:pPr>
        <w:pStyle w:val="643"/>
        <w:ind w:firstLine="441"/>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643"/>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654"/>
        <w:ind w:firstLine="360"/>
        <w:keepLines w:val="0"/>
        <w:keepNext w:val="0"/>
        <w:pageBreakBefore w:val="0"/>
        <w:spacing w:before="0"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643"/>
        <w:ind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643"/>
        <w:ind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43"/>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43"/>
        <w:ind w:left="12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643"/>
        <w:ind w:left="12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43"/>
        <w:ind w:left="12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43"/>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43"/>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643"/>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3"/>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643"/>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643"/>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643"/>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43"/>
        <w:jc w:val="center"/>
        <w:keepNext/>
        <w:spacing w:beforeAutospacing="0" w:afterAutospacing="0"/>
      </w:pPr>
      <w:r>
        <w:rPr>
          <w:rFonts w:hint="eastAsia" w:ascii="黑体" w:hAnsi="宋体" w:eastAsia="黑体" w:cs="黑体"/>
          <w:sz w:val="44"/>
          <w:szCs w:val="44"/>
        </w:rPr>
        <w:t xml:space="preserve">第六章  投标文件格式 </w:t>
      </w:r>
      <w:r/>
    </w:p>
    <w:p>
      <w:pPr>
        <w:pStyle w:val="643"/>
        <w:jc w:val="center"/>
        <w:spacing w:beforeAutospacing="0" w:afterAutospacing="0"/>
        <w:rPr>
          <w:rFonts w:ascii="宋体" w:hAnsi="宋体" w:eastAsia="宋体" w:cs="宋体"/>
          <w:b/>
          <w:sz w:val="72"/>
          <w:szCs w:val="72"/>
        </w:rPr>
      </w:pPr>
      <w:r/>
      <w:bookmarkStart w:id="209" w:name="_Toc49090576"/>
      <w:r/>
      <w:bookmarkEnd w:id="209"/>
      <w:r/>
      <w:bookmarkStart w:id="210" w:name="_Toc120614282"/>
      <w:r/>
      <w:bookmarkEnd w:id="210"/>
      <w:r/>
      <w:bookmarkStart w:id="211" w:name="_Toc26554094"/>
      <w:r/>
      <w:bookmarkStart w:id="212" w:name="_Hlt26671244"/>
      <w:r/>
      <w:bookmarkStart w:id="213" w:name="_Hlt26955039"/>
      <w:r/>
      <w:r/>
    </w:p>
    <w:p>
      <w:pPr>
        <w:pStyle w:val="643"/>
        <w:jc w:val="center"/>
        <w:spacing w:beforeAutospacing="0" w:afterAutospacing="0"/>
      </w:pPr>
      <w:r>
        <w:rPr>
          <w:rFonts w:hint="eastAsia" w:ascii="宋体" w:hAnsi="宋体" w:eastAsia="宋体" w:cs="宋体"/>
          <w:b/>
          <w:sz w:val="72"/>
          <w:szCs w:val="72"/>
        </w:rPr>
        <w:t xml:space="preserve">投  标  文  件</w:t>
      </w:r>
      <w:r/>
    </w:p>
    <w:p>
      <w:pPr>
        <w:pStyle w:val="643"/>
        <w:jc w:val="center"/>
        <w:spacing w:beforeAutospacing="0" w:afterAutospacing="0"/>
      </w:pPr>
      <w:r>
        <w:t xml:space="preserve"> </w:t>
      </w:r>
      <w:r/>
    </w:p>
    <w:p>
      <w:pPr>
        <w:pStyle w:val="643"/>
        <w:jc w:val="center"/>
        <w:spacing w:beforeAutospacing="0" w:afterAutospacing="0"/>
      </w:pPr>
      <w:r>
        <w:t xml:space="preserve"> </w:t>
      </w:r>
      <w:r/>
    </w:p>
    <w:p>
      <w:pPr>
        <w:pStyle w:val="643"/>
        <w:jc w:val="center"/>
        <w:spacing w:beforeAutospacing="0" w:afterAutospacing="0"/>
      </w:pPr>
      <w:r>
        <w:t xml:space="preserve"> </w:t>
      </w:r>
      <w:r/>
    </w:p>
    <w:p>
      <w:pPr>
        <w:pStyle w:val="643"/>
        <w:jc w:val="center"/>
        <w:spacing w:beforeAutospacing="0" w:afterAutospacing="0"/>
      </w:pPr>
      <w:r>
        <w:t xml:space="preserve"> </w:t>
      </w:r>
      <w:r/>
    </w:p>
    <w:p>
      <w:pPr>
        <w:pStyle w:val="643"/>
        <w:jc w:val="center"/>
        <w:spacing w:beforeAutospacing="0" w:afterAutospacing="0"/>
      </w:pPr>
      <w:r>
        <w:t xml:space="preserve"> </w:t>
      </w:r>
      <w:r/>
    </w:p>
    <w:p>
      <w:pPr>
        <w:pStyle w:val="643"/>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643"/>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643"/>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643"/>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
    </w:p>
    <w:p>
      <w:pPr>
        <w:pStyle w:val="643"/>
        <w:jc w:val="center"/>
        <w:spacing w:beforeAutospacing="0" w:afterAutospacing="0" w:line="0" w:lineRule="atLeast"/>
      </w:pPr>
      <w:r>
        <w:rPr>
          <w:rFonts w:hint="eastAsia" w:ascii="宋体" w:hAnsi="宋体" w:eastAsia="宋体" w:cs="宋体"/>
          <w:b/>
          <w:sz w:val="32"/>
          <w:szCs w:val="32"/>
        </w:rPr>
        <w:t xml:space="preserve">投标文件目录</w:t>
      </w:r>
      <w:r/>
    </w:p>
    <w:p>
      <w:pPr>
        <w:pStyle w:val="643"/>
        <w:jc w:val="center"/>
        <w:spacing w:beforeAutospacing="0" w:afterAutospacing="0" w:line="0" w:lineRule="atLeast"/>
      </w:pPr>
      <w:r>
        <w:t xml:space="preserve"> </w:t>
      </w:r>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一、法人或者其他组织的营业执照等证明文件，自然人的身份证明</w:t>
      </w:r>
      <w:r/>
    </w:p>
    <w:p>
      <w:pPr>
        <w:ind w:firstLine="480"/>
        <w:jc w:val="left"/>
        <w:spacing w:line="440" w:lineRule="exact"/>
        <w:tabs>
          <w:tab w:val="left" w:pos="1331" w:leader="none"/>
        </w:tabs>
        <w:rPr>
          <w:rFonts w:hint="eastAsia" w:ascii="宋体" w:hAnsi="宋体" w:eastAsia="宋体" w:cs="宋体"/>
          <w:iCs/>
          <w:sz w:val="24"/>
          <w:lang w:val="en-US" w:eastAsia="zh-CN"/>
        </w:rPr>
      </w:pPr>
      <w:r>
        <w:rPr>
          <w:rFonts w:hint="eastAsia" w:ascii="宋体" w:hAnsi="宋体" w:eastAsia="宋体" w:cs="宋体"/>
          <w:iCs/>
          <w:sz w:val="24"/>
        </w:rPr>
        <w:t xml:space="preserve">二、</w:t>
      </w:r>
      <w:r>
        <w:rPr>
          <w:rFonts w:hint="eastAsia" w:ascii="宋体" w:hAnsi="宋体" w:eastAsia="宋体" w:cs="宋体"/>
          <w:iCs/>
          <w:color w:val="000000"/>
        </w:rPr>
        <w:t xml:space="preserve">上一年度的财务状况报</w:t>
      </w:r>
      <w:r>
        <w:rPr>
          <w:rFonts w:hint="eastAsia" w:ascii="宋体" w:hAnsi="宋体" w:eastAsia="宋体" w:cs="宋体"/>
          <w:iCs/>
          <w:color w:val="000000"/>
          <w:lang w:val="en-US" w:eastAsia="zh-CN"/>
        </w:rPr>
        <w:t xml:space="preserve">告</w:t>
      </w:r>
      <w:r>
        <w:rPr>
          <w:rFonts w:hint="eastAsia" w:ascii="宋体" w:hAnsi="宋体" w:eastAsia="宋体" w:cs="宋体"/>
          <w:color w:val="000000"/>
          <w:sz w:val="24"/>
        </w:rPr>
        <w:t xml:space="preserve">【至少提供资产负债表、利润表、现金流量表，如2025年财务状况报告尚未出具，投标人可提供2025年度的财务报表（至少包含资产负债表、利润表、现金流量表）加盖投标人公章替代；投标人成立不满一年无需提供】</w:t>
      </w:r>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五、参加政府采购活动前 3 年内在经营活动中没有重大违法记录的书面声明</w:t>
      </w:r>
      <w:r/>
    </w:p>
    <w:p>
      <w:pPr>
        <w:pStyle w:val="643"/>
        <w:ind w:firstLine="480"/>
        <w:jc w:val="both"/>
        <w:spacing w:beforeAutospacing="0" w:afterAutospacing="0" w:line="440" w:lineRule="exact"/>
        <w:rPr>
          <w:rFonts w:ascii="宋体" w:hAnsi="宋体" w:eastAsia="宋体" w:cs="宋体"/>
        </w:rPr>
      </w:pPr>
      <w:r>
        <w:rPr>
          <w:rFonts w:hint="eastAsia" w:ascii="宋体" w:hAnsi="宋体" w:eastAsia="宋体" w:cs="宋体"/>
          <w:iCs/>
        </w:rPr>
        <w:t xml:space="preserve">六、</w:t>
      </w:r>
      <w:r>
        <w:rPr>
          <w:rFonts w:hint="eastAsia" w:ascii="宋体" w:hAnsi="宋体" w:eastAsia="宋体" w:cs="宋体"/>
        </w:rPr>
        <w:t xml:space="preserve">单位负责人为同一人或者存在直接控股、服务关系的不同供应商，不得参加同一合同项下的政府采购活动证明文件</w:t>
      </w:r>
      <w:r/>
    </w:p>
    <w:p>
      <w:pPr>
        <w:pStyle w:val="643"/>
        <w:ind w:firstLine="480"/>
        <w:jc w:val="both"/>
        <w:spacing w:beforeAutospacing="0" w:afterAutospacing="0" w:line="440" w:lineRule="exact"/>
        <w:rPr>
          <w:rFonts w:hint="default" w:ascii="宋体" w:hAnsi="宋体" w:eastAsia="宋体" w:cs="宋体"/>
          <w:iCs/>
          <w:lang w:val="en-US" w:eastAsia="zh-CN"/>
        </w:rPr>
      </w:pPr>
      <w:r>
        <w:rPr>
          <w:rFonts w:hint="eastAsia" w:ascii="宋体" w:hAnsi="宋体" w:eastAsia="宋体" w:cs="宋体"/>
        </w:rPr>
        <w:t xml:space="preserve">七、</w:t>
      </w:r>
      <w:r>
        <w:rPr>
          <w:rFonts w:hint="eastAsia" w:ascii="宋体" w:hAnsi="宋体" w:eastAsia="宋体" w:cs="宋体"/>
          <w:iCs/>
        </w:rPr>
        <w:t xml:space="preserve">特定资格要求的证明文件</w:t>
      </w:r>
      <w:r>
        <w:rPr>
          <w:rFonts w:hint="eastAsia" w:ascii="宋体" w:hAnsi="宋体" w:eastAsia="宋体" w:cs="宋体"/>
          <w:iCs/>
          <w:lang w:eastAsia="zh-CN"/>
        </w:rPr>
        <w:t xml:space="preserve">（</w:t>
      </w:r>
      <w:r>
        <w:rPr>
          <w:rFonts w:hint="eastAsia" w:ascii="宋体" w:hAnsi="宋体" w:eastAsia="宋体" w:cs="宋体"/>
          <w:iCs/>
          <w:lang w:val="en-US" w:eastAsia="zh-CN"/>
        </w:rPr>
        <w:t xml:space="preserve">如有）</w:t>
      </w:r>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八、法人授权书</w:t>
      </w:r>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九、投标函</w:t>
      </w:r>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十、中小企业声明函</w:t>
      </w:r>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十一、残疾人福利性单位声明函</w:t>
      </w:r>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十二、投标分项报价表</w:t>
      </w:r>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十三、</w:t>
      </w:r>
      <w:r>
        <w:rPr>
          <w:rFonts w:hint="eastAsia" w:ascii="宋体" w:hAnsi="宋体" w:eastAsia="宋体" w:cs="宋体"/>
          <w:iCs/>
          <w:lang w:val="en-US" w:eastAsia="zh-CN"/>
        </w:rPr>
        <w:t xml:space="preserve">采购需求</w:t>
      </w:r>
      <w:r>
        <w:rPr>
          <w:rFonts w:hint="eastAsia" w:ascii="宋体" w:hAnsi="宋体" w:eastAsia="宋体" w:cs="宋体"/>
          <w:iCs/>
        </w:rPr>
        <w:t xml:space="preserve">响应及偏离表</w:t>
      </w:r>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十四、商务要求响应及偏离表</w:t>
      </w:r>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十五、开标一览表</w:t>
      </w:r>
      <w:bookmarkStart w:id="214" w:name="OLE_LINK15"/>
      <w:r/>
      <w:bookmarkEnd w:id="214"/>
      <w:r/>
    </w:p>
    <w:p>
      <w:pPr>
        <w:pStyle w:val="643"/>
        <w:ind w:firstLine="480"/>
        <w:jc w:val="both"/>
        <w:spacing w:beforeAutospacing="0" w:afterAutospacing="0" w:line="440" w:lineRule="exact"/>
        <w:rPr>
          <w:rFonts w:ascii="宋体" w:hAnsi="宋体" w:eastAsia="宋体" w:cs="宋体"/>
          <w:iCs/>
        </w:rPr>
      </w:pPr>
      <w:r>
        <w:rPr>
          <w:rFonts w:hint="eastAsia" w:ascii="宋体" w:hAnsi="宋体" w:eastAsia="宋体" w:cs="宋体"/>
          <w:iCs/>
        </w:rPr>
        <w:t xml:space="preserve">十</w:t>
      </w:r>
      <w:r>
        <w:rPr>
          <w:rFonts w:hint="eastAsia" w:ascii="宋体" w:hAnsi="宋体" w:eastAsia="宋体" w:cs="宋体"/>
          <w:iCs/>
          <w:lang w:val="en-US" w:eastAsia="zh-CN"/>
        </w:rPr>
        <w:t xml:space="preserve">六</w:t>
      </w:r>
      <w:r>
        <w:rPr>
          <w:rFonts w:hint="eastAsia" w:ascii="宋体" w:hAnsi="宋体" w:eastAsia="宋体" w:cs="宋体"/>
          <w:iCs/>
        </w:rPr>
        <w:t xml:space="preserve">、盐城市政府采购事前信用承诺书</w:t>
      </w:r>
      <w:r/>
    </w:p>
    <w:p>
      <w:pPr>
        <w:ind w:firstLine="480"/>
        <w:spacing w:line="440" w:lineRule="exact"/>
        <w:widowControl/>
        <w:rPr>
          <w:rFonts w:ascii="宋体" w:hAnsi="宋体" w:eastAsia="宋体" w:cs="宋体"/>
          <w:iCs/>
          <w:sz w:val="24"/>
        </w:rPr>
      </w:pPr>
      <w:r>
        <w:rPr>
          <w:rFonts w:hint="eastAsia" w:ascii="宋体" w:hAnsi="宋体" w:eastAsia="宋体" w:cs="宋体"/>
          <w:sz w:val="24"/>
        </w:rPr>
        <w:t xml:space="preserve">十</w:t>
      </w:r>
      <w:r>
        <w:rPr>
          <w:rFonts w:hint="eastAsia" w:ascii="宋体" w:hAnsi="宋体" w:eastAsia="宋体" w:cs="宋体"/>
          <w:sz w:val="24"/>
          <w:lang w:val="en-US" w:eastAsia="zh-CN"/>
        </w:rPr>
        <w:t xml:space="preserve">七</w:t>
      </w:r>
      <w:r>
        <w:rPr>
          <w:rFonts w:hint="eastAsia" w:ascii="宋体" w:hAnsi="宋体" w:eastAsia="宋体" w:cs="宋体"/>
          <w:sz w:val="24"/>
        </w:rPr>
        <w:t xml:space="preserve">、其他材料（如有）</w:t>
      </w:r>
      <w:r/>
    </w:p>
    <w:p>
      <w:pPr>
        <w:pStyle w:val="643"/>
        <w:ind w:firstLine="480"/>
        <w:jc w:val="both"/>
        <w:spacing w:beforeAutospacing="0" w:afterAutospacing="0" w:line="0" w:lineRule="atLeast"/>
      </w:pPr>
      <w:r>
        <w:t xml:space="preserve"> </w:t>
      </w:r>
      <w:r/>
    </w:p>
    <w:p>
      <w:pPr>
        <w:pStyle w:val="643"/>
        <w:ind w:firstLine="480"/>
        <w:jc w:val="both"/>
        <w:spacing w:beforeAutospacing="0" w:afterAutospacing="0" w:line="0" w:lineRule="atLeast"/>
      </w:pPr>
      <w:r>
        <w:t xml:space="preserve"> </w:t>
      </w:r>
      <w:r/>
    </w:p>
    <w:p>
      <w:pPr>
        <w:pStyle w:val="643"/>
        <w:ind w:firstLine="480"/>
        <w:jc w:val="both"/>
        <w:spacing w:beforeAutospacing="0" w:afterAutospacing="0" w:line="0" w:lineRule="atLeast"/>
      </w:pPr>
      <w:r>
        <w:t xml:space="preserve"> </w:t>
      </w:r>
      <w:r/>
    </w:p>
    <w:p>
      <w:pPr>
        <w:pStyle w:val="643"/>
        <w:ind w:firstLine="480"/>
        <w:jc w:val="both"/>
        <w:spacing w:beforeAutospacing="0" w:afterAutospacing="0" w:line="0" w:lineRule="atLeast"/>
      </w:pPr>
      <w:r>
        <w:t xml:space="preserve"> </w:t>
      </w:r>
      <w:r/>
    </w:p>
    <w:p>
      <w:pPr>
        <w:pStyle w:val="643"/>
        <w:ind w:firstLine="480"/>
        <w:jc w:val="both"/>
        <w:spacing w:beforeAutospacing="0" w:afterAutospacing="0" w:line="0" w:lineRule="atLeast"/>
      </w:pPr>
      <w:r>
        <w:t xml:space="preserve"> </w:t>
      </w:r>
      <w:r/>
    </w:p>
    <w:p>
      <w:pPr>
        <w:pStyle w:val="643"/>
        <w:ind w:firstLine="480"/>
        <w:jc w:val="both"/>
        <w:spacing w:beforeAutospacing="0" w:afterAutospacing="0" w:line="0" w:lineRule="atLeast"/>
      </w:pPr>
      <w:r>
        <w:t xml:space="preserve"> </w:t>
      </w:r>
      <w:r/>
    </w:p>
    <w:p>
      <w:pPr>
        <w:pStyle w:val="643"/>
        <w:ind w:firstLine="480"/>
        <w:jc w:val="both"/>
        <w:spacing w:beforeAutospacing="0" w:afterAutospacing="0" w:line="0" w:lineRule="atLeast"/>
      </w:pPr>
      <w:r>
        <w:t xml:space="preserve"> </w:t>
      </w:r>
      <w:r/>
    </w:p>
    <w:p>
      <w:pPr>
        <w:pStyle w:val="643"/>
        <w:ind w:firstLine="480"/>
        <w:jc w:val="both"/>
        <w:spacing w:beforeAutospacing="0" w:afterAutospacing="0" w:line="0" w:lineRule="atLeast"/>
      </w:pPr>
      <w:r>
        <w:t xml:space="preserve"> </w:t>
      </w:r>
      <w:bookmarkEnd w:id="6"/>
      <w:bookmarkEnd w:id="78"/>
      <w:bookmarkEnd w:id="125"/>
      <w:bookmarkEnd w:id="126"/>
      <w:bookmarkEnd w:id="127"/>
      <w:bookmarkEnd w:id="128"/>
      <w:bookmarkEnd w:id="129"/>
      <w:bookmarkEnd w:id="130"/>
      <w:bookmarkEnd w:id="131"/>
      <w:bookmarkEnd w:id="132"/>
      <w:bookmarkEnd w:id="141"/>
      <w:bookmarkEnd w:id="142"/>
      <w:bookmarkEnd w:id="149"/>
      <w:bookmarkEnd w:id="193"/>
      <w:bookmarkEnd w:id="201"/>
      <w:bookmarkEnd w:id="211"/>
      <w:bookmarkEnd w:id="212"/>
      <w:bookmarkEnd w:id="213"/>
      <w:r/>
    </w:p>
    <w:p>
      <w:pP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br w:type="page" w:clear="all"/>
      </w:r>
      <w:r/>
    </w:p>
    <w:p>
      <w:pPr>
        <w:pStyle w:val="643"/>
        <w:ind w:firstLine="643"/>
        <w:jc w:val="both"/>
        <w:spacing w:beforeAutospacing="0" w:afterAutospacing="0"/>
        <w:rPr>
          <w:rFonts w:ascii="宋体" w:hAnsi="宋体" w:eastAsia="宋体" w:cs="宋体"/>
        </w:rPr>
      </w:pPr>
      <w:r>
        <w:rPr>
          <w:rFonts w:hint="eastAsia" w:ascii="宋体" w:hAnsi="宋体" w:eastAsia="宋体" w:cs="宋体"/>
          <w:i/>
          <w:color w:val="000000"/>
          <w:sz w:val="32"/>
          <w:szCs w:val="32"/>
          <w:u w:val="single"/>
        </w:rPr>
        <w:t xml:space="preserve">一、法人或者其他组织的营业执照等证明文件，自然人的身份证明</w:t>
      </w:r>
      <w:r/>
    </w:p>
    <w:p>
      <w:pPr>
        <w:pStyle w:val="643"/>
        <w:ind w:firstLine="482"/>
        <w:jc w:val="both"/>
        <w:spacing w:beforeAutospacing="0" w:afterAutospacing="0" w:line="0" w:lineRule="atLeast"/>
        <w:rPr>
          <w:rFonts w:hint="eastAsia" w:ascii="宋体" w:hAnsi="宋体" w:eastAsia="宋体" w:cs="宋体"/>
          <w:i/>
          <w:color w:val="000000"/>
          <w:sz w:val="32"/>
          <w:szCs w:val="32"/>
          <w:u w:val="single"/>
        </w:rPr>
      </w:pPr>
      <w:r>
        <w:rPr>
          <w:rFonts w:hint="eastAsia" w:ascii="宋体" w:hAnsi="宋体" w:eastAsia="宋体" w:cs="宋体"/>
        </w:rPr>
        <w:t xml:space="preserve"> </w:t>
      </w:r>
      <w:r>
        <w:rPr>
          <w:rFonts w:hint="eastAsia" w:ascii="宋体" w:hAnsi="宋体" w:eastAsia="宋体" w:cs="宋体"/>
          <w:i/>
          <w:color w:val="000000"/>
          <w:sz w:val="32"/>
          <w:szCs w:val="32"/>
          <w:u w:val="single"/>
        </w:rPr>
        <w:t xml:space="preserve">二、上一年度的财务状况报</w:t>
      </w:r>
      <w:r>
        <w:rPr>
          <w:rFonts w:hint="eastAsia" w:ascii="宋体" w:hAnsi="宋体" w:eastAsia="宋体" w:cs="宋体"/>
          <w:i/>
          <w:color w:val="000000"/>
          <w:sz w:val="32"/>
          <w:szCs w:val="32"/>
          <w:u w:val="single"/>
          <w:lang w:val="en-US" w:eastAsia="zh-CN"/>
        </w:rPr>
        <w:t xml:space="preserve">告</w:t>
      </w:r>
      <w:r>
        <w:rPr>
          <w:rFonts w:hint="eastAsia" w:ascii="宋体" w:hAnsi="宋体" w:eastAsia="宋体" w:cs="宋体"/>
          <w:i/>
          <w:color w:val="000000"/>
          <w:sz w:val="32"/>
          <w:szCs w:val="32"/>
          <w:u w:val="single"/>
        </w:rPr>
        <w:t xml:space="preserve">【至少提供资产负债表、利润表、现金流量表，如2025年财务状况报告尚未出具，投标人可提供2025年度的财务报表（至少包含资产负债表、利润表、现金流量表）加盖投标人公章替代；投标人成立不满一年无需提供】</w:t>
      </w:r>
      <w:r/>
    </w:p>
    <w:p>
      <w:pPr>
        <w:pStyle w:val="643"/>
        <w:ind w:firstLine="482"/>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投标人成立不满一年无需提供</w:t>
      </w:r>
      <w:r/>
    </w:p>
    <w:p>
      <w:pPr>
        <w:pStyle w:val="643"/>
        <w:jc w:val="both"/>
        <w:spacing w:beforeAutospacing="0" w:afterAutospacing="0"/>
        <w:rPr>
          <w:rFonts w:ascii="宋体" w:hAnsi="宋体" w:eastAsia="宋体" w:cs="宋体"/>
        </w:rPr>
      </w:pPr>
      <w:r>
        <w:rPr>
          <w:rFonts w:hint="eastAsia" w:ascii="宋体" w:hAnsi="宋体" w:eastAsia="宋体" w:cs="宋体"/>
        </w:rPr>
        <w:t xml:space="preserve">  </w:t>
      </w:r>
      <w:r>
        <w:rPr>
          <w:rFonts w:hint="eastAsia" w:ascii="宋体" w:hAnsi="宋体" w:eastAsia="宋体" w:cs="宋体"/>
          <w:i/>
          <w:color w:val="000000"/>
          <w:sz w:val="32"/>
          <w:szCs w:val="32"/>
          <w:u w:val="single"/>
        </w:rPr>
        <w:t xml:space="preserve">三、具备履行合同所必需的设备和专业技术能力的书面声明</w:t>
      </w:r>
      <w:r/>
    </w:p>
    <w:p>
      <w:pPr>
        <w:pStyle w:val="643"/>
        <w:ind w:firstLine="482"/>
        <w:jc w:val="both"/>
        <w:spacing w:beforeAutospacing="0" w:afterAutospacing="0" w:line="0" w:lineRule="atLeast"/>
        <w:rPr>
          <w:rFonts w:ascii="宋体" w:hAnsi="宋体" w:eastAsia="宋体" w:cs="宋体"/>
        </w:rPr>
      </w:pPr>
      <w:r/>
      <w:bookmarkStart w:id="215" w:name="OLE_LINK72"/>
      <w:r/>
      <w:bookmarkStart w:id="216" w:name="OLE_LINK73"/>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43"/>
        <w:ind w:firstLine="482"/>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43"/>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15"/>
      <w:bookmarkEnd w:id="216"/>
      <w:r/>
    </w:p>
    <w:p>
      <w:pPr>
        <w:pStyle w:val="643"/>
        <w:ind w:firstLine="643"/>
        <w:jc w:val="both"/>
        <w:spacing w:beforeAutospacing="0" w:afterAutospacing="0"/>
        <w:rPr>
          <w:rFonts w:ascii="宋体" w:hAnsi="宋体" w:eastAsia="宋体" w:cs="宋体"/>
        </w:rPr>
      </w:pPr>
      <w:r>
        <w:rPr>
          <w:rFonts w:hint="eastAsia" w:ascii="宋体" w:hAnsi="宋体" w:eastAsia="宋体" w:cs="宋体"/>
          <w:i/>
          <w:color w:val="000000"/>
          <w:sz w:val="32"/>
          <w:szCs w:val="32"/>
          <w:u w:val="single"/>
        </w:rPr>
        <w:t xml:space="preserve">四、依法缴纳税收和社会保障资金的相关材料</w:t>
      </w:r>
      <w:r/>
    </w:p>
    <w:p>
      <w:pPr>
        <w:pStyle w:val="643"/>
        <w:ind w:firstLine="482"/>
        <w:jc w:val="both"/>
        <w:spacing w:beforeAutospacing="0" w:afterAutospacing="0"/>
        <w:rPr>
          <w:rFonts w:ascii="宋体" w:hAnsi="宋体" w:eastAsia="宋体" w:cs="宋体"/>
        </w:rPr>
      </w:pPr>
      <w:r/>
      <w:bookmarkStart w:id="217"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17"/>
      <w:r/>
      <w:r/>
    </w:p>
    <w:p>
      <w:pPr>
        <w:pStyle w:val="643"/>
        <w:ind w:firstLine="643"/>
        <w:jc w:val="both"/>
        <w:spacing w:beforeAutospacing="0" w:afterAutospacing="0"/>
        <w:rPr>
          <w:rFonts w:ascii="宋体" w:hAnsi="宋体" w:eastAsia="宋体" w:cs="宋体"/>
        </w:rPr>
      </w:pPr>
      <w:r>
        <w:rPr>
          <w:rFonts w:hint="eastAsia" w:ascii="宋体" w:hAnsi="宋体" w:eastAsia="宋体" w:cs="宋体"/>
          <w:i/>
          <w:color w:val="000000"/>
          <w:sz w:val="32"/>
          <w:szCs w:val="32"/>
          <w:u w:val="single"/>
        </w:rPr>
        <w:t xml:space="preserve">五、参加政府采购活动前 3 年内在经营活动中没有重大违法记录的书面声明</w:t>
      </w:r>
      <w:r/>
    </w:p>
    <w:p>
      <w:pPr>
        <w:pStyle w:val="643"/>
        <w:ind w:firstLine="883"/>
        <w:jc w:val="both"/>
        <w:spacing w:beforeAutospacing="0" w:afterAutospacing="0" w:line="0" w:lineRule="atLeast"/>
        <w:rPr>
          <w:rFonts w:ascii="宋体" w:hAnsi="宋体" w:eastAsia="宋体" w:cs="宋体"/>
        </w:rPr>
      </w:pPr>
      <w:r>
        <w:rPr>
          <w:rFonts w:hint="eastAsia" w:ascii="宋体" w:hAnsi="宋体" w:eastAsia="宋体" w:cs="宋体"/>
          <w:b/>
          <w:color w:val="000000"/>
          <w:sz w:val="44"/>
          <w:szCs w:val="44"/>
        </w:rPr>
        <w:t xml:space="preserve">       </w:t>
      </w:r>
      <w:bookmarkStart w:id="218" w:name="OLE_LINK75"/>
      <w:r/>
      <w:bookmarkStart w:id="219" w:name="OLE_LINK74"/>
      <w:r>
        <w:rPr>
          <w:rFonts w:hint="eastAsia" w:ascii="宋体" w:hAnsi="宋体" w:eastAsia="宋体" w:cs="宋体"/>
          <w:b/>
          <w:color w:val="000000"/>
          <w:sz w:val="44"/>
          <w:szCs w:val="44"/>
        </w:rPr>
        <w:t xml:space="preserve">声  明</w:t>
      </w:r>
      <w:r/>
    </w:p>
    <w:p>
      <w:pPr>
        <w:pStyle w:val="643"/>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18"/>
      <w:bookmarkEnd w:id="219"/>
      <w:r/>
    </w:p>
    <w:p>
      <w:pPr>
        <w:pStyle w:val="643"/>
        <w:jc w:val="both"/>
        <w:spacing w:beforeAutospacing="0" w:afterAutospacing="0"/>
        <w:rPr>
          <w:rFonts w:ascii="宋体" w:hAnsi="宋体" w:eastAsia="宋体" w:cs="宋体"/>
        </w:rPr>
      </w:pPr>
      <w:r>
        <w:rPr>
          <w:rFonts w:hint="eastAsia" w:ascii="宋体" w:hAnsi="宋体" w:eastAsia="宋体" w:cs="宋体"/>
        </w:rPr>
        <w:t xml:space="preserve"> </w:t>
      </w:r>
      <w:r>
        <w:rPr>
          <w:rFonts w:hint="eastAsia" w:ascii="宋体" w:hAnsi="宋体" w:eastAsia="宋体" w:cs="宋体"/>
          <w:i/>
          <w:color w:val="000000"/>
          <w:sz w:val="32"/>
          <w:szCs w:val="32"/>
          <w:u w:val="single"/>
        </w:rPr>
        <w:t xml:space="preserve">六、单位负责人为同一人或者存在直接控股、服务关系的不同供应商，不得参加同一合同项下的政府采购活动证明文件  </w:t>
      </w:r>
      <w:r>
        <w:rPr>
          <w:rFonts w:hint="eastAsia" w:ascii="宋体" w:hAnsi="宋体" w:eastAsia="宋体" w:cs="宋体"/>
          <w:color w:val="000000"/>
        </w:rPr>
        <w:t xml:space="preserve">    </w:t>
      </w:r>
      <w:r>
        <w:rPr>
          <w:rFonts w:hint="eastAsia" w:ascii="宋体" w:hAnsi="宋体" w:eastAsia="宋体" w:cs="宋体"/>
          <w:b/>
          <w:color w:val="000000"/>
          <w:sz w:val="44"/>
        </w:rPr>
        <w:t xml:space="preserve">   </w:t>
      </w:r>
      <w:r/>
    </w:p>
    <w:p>
      <w:pPr>
        <w:jc w:val="cente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bookmarkStart w:id="220" w:name="OLE_LINK76"/>
      <w:r>
        <w:rPr>
          <w:rFonts w:hint="eastAsia" w:ascii="宋体" w:hAnsi="宋体" w:eastAsia="宋体" w:cs="宋体"/>
          <w:b/>
          <w:color w:val="000000"/>
          <w:sz w:val="36"/>
          <w:szCs w:val="36"/>
        </w:rPr>
        <w:t xml:space="preserve">声  明</w:t>
      </w:r>
      <w:r/>
    </w:p>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我单位不存在：单位负责人为同一人或者存在直接控股、管理关系的不同供应商，同时参加同一合同项下的政府采购活动。</w:t>
      </w:r>
      <w:bookmarkEnd w:id="220"/>
      <w:r/>
    </w:p>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32"/>
          <w:szCs w:val="32"/>
          <w:u w:val="single"/>
        </w:rPr>
        <w:t xml:space="preserve">七、特定资格要求的证明文件</w:t>
      </w:r>
      <w:r/>
    </w:p>
    <w:p>
      <w:pPr>
        <w:pStyle w:val="643"/>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如果本项目申请人的特定资格要求中要求提供的，必须提供。</w:t>
      </w:r>
      <w:r/>
    </w:p>
    <w:p>
      <w:pPr>
        <w:pStyle w:val="643"/>
        <w:ind w:firstLine="643"/>
        <w:jc w:val="center"/>
        <w:spacing w:beforeAutospacing="0" w:afterAutospacing="0"/>
        <w:rPr>
          <w:rFonts w:ascii="宋体" w:hAnsi="宋体" w:eastAsia="宋体" w:cs="宋体"/>
          <w:b/>
          <w:i/>
          <w:iCs/>
          <w:sz w:val="32"/>
          <w:szCs w:val="32"/>
        </w:rPr>
      </w:pPr>
      <w:r>
        <w:rPr>
          <w:rFonts w:hint="eastAsia" w:ascii="宋体" w:hAnsi="宋体" w:eastAsia="宋体" w:cs="宋体"/>
          <w:b/>
          <w:i/>
          <w:iCs/>
          <w:sz w:val="32"/>
          <w:szCs w:val="32"/>
        </w:rPr>
        <w:t xml:space="preserve">八、</w:t>
      </w:r>
      <w:bookmarkStart w:id="221" w:name="OLE_LINK79"/>
      <w:r/>
      <w:bookmarkStart w:id="222" w:name="OLE_LINK80"/>
      <w:r>
        <w:rPr>
          <w:rFonts w:hint="eastAsia" w:ascii="宋体" w:hAnsi="宋体" w:eastAsia="宋体" w:cs="宋体"/>
          <w:b/>
          <w:i/>
          <w:iCs/>
          <w:sz w:val="32"/>
          <w:szCs w:val="32"/>
        </w:rPr>
        <w:t xml:space="preserve">法人授权书</w:t>
      </w:r>
      <w:bookmarkEnd w:id="221"/>
      <w:r/>
      <w:bookmarkEnd w:id="222"/>
      <w:r/>
      <w:r/>
    </w:p>
    <w:p>
      <w:pPr>
        <w:pStyle w:val="643"/>
        <w:ind w:firstLine="482"/>
        <w:jc w:val="both"/>
        <w:spacing w:beforeAutospacing="0" w:afterAutospacing="0" w:line="360" w:lineRule="auto"/>
        <w:tabs>
          <w:tab w:val="left" w:pos="360" w:leader="none"/>
        </w:tabs>
        <w:rPr>
          <w:rFonts w:ascii="宋体" w:hAnsi="宋体" w:eastAsia="宋体" w:cs="宋体"/>
          <w:color w:val="000000"/>
        </w:rPr>
      </w:pPr>
      <w:r>
        <w:rPr>
          <w:rFonts w:ascii="宋体" w:hAnsi="宋体" w:eastAsia="宋体" w:cs="宋体"/>
          <w:color w:val="000000"/>
        </w:rPr>
      </w:r>
      <w:r/>
    </w:p>
    <w:p>
      <w:pPr>
        <w:pStyle w:val="643"/>
        <w:ind w:firstLine="482"/>
        <w:jc w:val="both"/>
        <w:spacing w:beforeAutospacing="0" w:afterAutospacing="0" w:line="360" w:lineRule="auto"/>
        <w:tabs>
          <w:tab w:val="left" w:pos="360" w:leader="none"/>
        </w:tabs>
        <w:rPr>
          <w:rFonts w:ascii="宋体" w:hAnsi="宋体" w:eastAsia="宋体" w:cs="宋体"/>
        </w:rPr>
      </w:pPr>
      <w:r>
        <w:rPr>
          <w:rFonts w:hint="eastAsia" w:ascii="宋体" w:hAnsi="宋体" w:eastAsia="宋体" w:cs="宋体"/>
          <w:color w:val="000000"/>
        </w:rPr>
        <w:t xml:space="preserve">本授权书声明：____________（投标人名称）授权________________（被授权人的姓名）为我方就JSZC-</w:t>
      </w:r>
      <w:r>
        <w:rPr>
          <w:rFonts w:hint="eastAsia" w:ascii="宋体" w:hAnsi="宋体" w:eastAsia="宋体" w:cs="宋体"/>
          <w:color w:val="000000"/>
          <w:u w:val="single"/>
        </w:rPr>
        <w:t xml:space="preserve">        </w:t>
      </w:r>
      <w:r>
        <w:rPr>
          <w:rFonts w:hint="eastAsia" w:ascii="宋体" w:hAnsi="宋体" w:eastAsia="宋体" w:cs="宋体"/>
          <w:color w:val="000000"/>
        </w:rPr>
        <w:t xml:space="preserve">号项目采购活动的合法代理人，以本单位名义全权处理一切与该项目采购有关的事务。</w:t>
      </w:r>
      <w:r/>
    </w:p>
    <w:p>
      <w:pPr>
        <w:pStyle w:val="643"/>
        <w:ind w:firstLine="482"/>
        <w:jc w:val="both"/>
        <w:spacing w:beforeAutospacing="0" w:afterAutospacing="0" w:line="360" w:lineRule="auto"/>
        <w:tabs>
          <w:tab w:val="left" w:pos="360" w:leader="none"/>
        </w:tabs>
        <w:rPr>
          <w:rFonts w:ascii="宋体" w:hAnsi="宋体" w:eastAsia="宋体" w:cs="宋体"/>
        </w:rPr>
      </w:pPr>
      <w:r>
        <w:rPr>
          <w:rFonts w:hint="eastAsia" w:ascii="宋体" w:hAnsi="宋体" w:eastAsia="宋体" w:cs="宋体"/>
          <w:color w:val="000000"/>
        </w:rPr>
        <w:t xml:space="preserve">本授权书于______年____月____日起生效，特此声明。</w:t>
      </w:r>
      <w:r/>
    </w:p>
    <w:p>
      <w:pPr>
        <w:pStyle w:val="643"/>
        <w:jc w:val="both"/>
        <w:spacing w:beforeAutospacing="0" w:afterAutospacing="0" w:line="360" w:lineRule="auto"/>
        <w:tabs>
          <w:tab w:val="left" w:pos="360" w:leader="none"/>
        </w:tabs>
        <w:rPr>
          <w:rFonts w:ascii="宋体" w:hAnsi="宋体" w:eastAsia="宋体" w:cs="宋体"/>
        </w:rPr>
      </w:pPr>
      <w:r>
        <w:rPr>
          <w:rFonts w:hint="eastAsia" w:ascii="宋体" w:hAnsi="宋体" w:eastAsia="宋体" w:cs="宋体"/>
          <w:color w:val="000000"/>
        </w:rPr>
        <w:t xml:space="preserve">  被授权人身份证号码：</w:t>
      </w:r>
      <w:r>
        <w:rPr>
          <w:rFonts w:hint="eastAsia" w:ascii="宋体" w:hAnsi="宋体" w:eastAsia="宋体" w:cs="宋体"/>
          <w:color w:val="000000"/>
          <w:u w:val="single"/>
        </w:rPr>
        <w:t xml:space="preserve">              </w:t>
      </w:r>
      <w:r/>
    </w:p>
    <w:p>
      <w:pPr>
        <w:pStyle w:val="643"/>
        <w:jc w:val="both"/>
        <w:spacing w:beforeAutospacing="0" w:afterAutospacing="0" w:line="360" w:lineRule="auto"/>
        <w:tabs>
          <w:tab w:val="left" w:pos="360" w:leader="none"/>
        </w:tabs>
        <w:rPr>
          <w:rFonts w:ascii="宋体" w:hAnsi="宋体" w:eastAsia="宋体" w:cs="宋体"/>
        </w:rPr>
      </w:pPr>
      <w:r>
        <w:rPr>
          <w:rFonts w:hint="eastAsia" w:ascii="宋体" w:hAnsi="宋体" w:eastAsia="宋体" w:cs="宋体"/>
          <w:color w:val="000000"/>
        </w:rPr>
        <w:t xml:space="preserve">  被授权人联系电话：（手机）</w:t>
      </w:r>
      <w:r>
        <w:rPr>
          <w:rFonts w:hint="eastAsia" w:ascii="宋体" w:hAnsi="宋体" w:eastAsia="宋体" w:cs="宋体"/>
          <w:color w:val="000000"/>
          <w:u w:val="single"/>
        </w:rPr>
        <w:t xml:space="preserve">          </w:t>
      </w:r>
      <w:r/>
    </w:p>
    <w:p>
      <w:pPr>
        <w:pStyle w:val="643"/>
        <w:ind w:firstLine="482"/>
        <w:jc w:val="both"/>
        <w:spacing w:beforeAutospacing="0" w:afterAutospacing="0" w:line="360" w:lineRule="auto"/>
        <w:tabs>
          <w:tab w:val="left" w:pos="360" w:leader="none"/>
        </w:tabs>
        <w:rPr>
          <w:rFonts w:ascii="宋体" w:hAnsi="宋体" w:eastAsia="宋体" w:cs="宋体"/>
        </w:rPr>
      </w:pPr>
      <w:r>
        <w:rPr>
          <w:rFonts w:hint="eastAsia" w:ascii="宋体" w:hAnsi="宋体" w:eastAsia="宋体" w:cs="宋体"/>
          <w:color w:val="000000"/>
        </w:rPr>
        <w:t xml:space="preserve">授权单位名称：</w:t>
      </w:r>
      <w:r>
        <w:rPr>
          <w:rFonts w:hint="eastAsia" w:ascii="宋体" w:hAnsi="宋体" w:eastAsia="宋体" w:cs="宋体"/>
          <w:color w:val="000000"/>
          <w:u w:val="single"/>
        </w:rPr>
        <w:t xml:space="preserve">（加盖CA电子公章）</w:t>
      </w:r>
      <w:r/>
    </w:p>
    <w:p>
      <w:pPr>
        <w:pStyle w:val="643"/>
        <w:ind w:firstLine="482"/>
        <w:jc w:val="both"/>
        <w:spacing w:beforeAutospacing="0" w:afterAutospacing="0" w:line="360" w:lineRule="auto"/>
        <w:tabs>
          <w:tab w:val="left" w:pos="360" w:leader="none"/>
        </w:tabs>
        <w:rPr>
          <w:rFonts w:ascii="宋体" w:hAnsi="宋体" w:eastAsia="宋体" w:cs="宋体"/>
        </w:rPr>
      </w:pPr>
      <w:r>
        <w:rPr>
          <w:rFonts w:hint="eastAsia" w:ascii="宋体" w:hAnsi="宋体" w:eastAsia="宋体" w:cs="宋体"/>
          <w:color w:val="000000"/>
        </w:rPr>
        <w:t xml:space="preserve">单位地址：</w:t>
      </w:r>
      <w:r>
        <w:rPr>
          <w:rFonts w:hint="eastAsia" w:ascii="宋体" w:hAnsi="宋体" w:eastAsia="宋体" w:cs="宋体"/>
          <w:color w:val="000000"/>
          <w:u w:val="single"/>
        </w:rPr>
        <w:t xml:space="preserve">                       </w:t>
      </w:r>
      <w:r/>
    </w:p>
    <w:p>
      <w:pPr>
        <w:pStyle w:val="643"/>
        <w:ind w:firstLine="482"/>
        <w:jc w:val="both"/>
        <w:spacing w:beforeAutospacing="0" w:afterAutospacing="0" w:line="360" w:lineRule="auto"/>
        <w:tabs>
          <w:tab w:val="left" w:pos="360" w:leader="none"/>
        </w:tabs>
        <w:rPr>
          <w:rFonts w:ascii="宋体" w:hAnsi="宋体" w:eastAsia="宋体" w:cs="宋体"/>
        </w:rPr>
      </w:pPr>
      <w:r>
        <w:rPr>
          <w:rFonts w:hint="eastAsia" w:ascii="宋体" w:hAnsi="宋体" w:eastAsia="宋体" w:cs="宋体"/>
          <w:color w:val="000000"/>
        </w:rPr>
        <w:t xml:space="preserve">日期：</w:t>
      </w:r>
      <w:bookmarkStart w:id="223" w:name="_Hlt26671380"/>
      <w:r/>
      <w:bookmarkStart w:id="224" w:name="_格式3__银行出具的资信证明"/>
      <w:r/>
      <w:bookmarkStart w:id="225" w:name="_Hlt26955070"/>
      <w:r>
        <w:rPr>
          <w:rFonts w:hint="eastAsia" w:ascii="宋体" w:hAnsi="宋体" w:eastAsia="宋体" w:cs="宋体"/>
          <w:color w:val="000000"/>
          <w:u w:val="single"/>
        </w:rPr>
        <w:t xml:space="preserve">                      </w:t>
      </w:r>
      <w:r/>
    </w:p>
    <w:p>
      <w:pPr>
        <w:pStyle w:val="643"/>
        <w:ind w:firstLine="482"/>
        <w:jc w:val="both"/>
        <w:spacing w:beforeAutospacing="0" w:afterAutospacing="0"/>
        <w:rPr>
          <w:rFonts w:ascii="宋体" w:hAnsi="宋体" w:eastAsia="宋体" w:cs="宋体"/>
        </w:rPr>
      </w:pPr>
      <w:r>
        <w:rPr>
          <w:rFonts w:hint="eastAsia" w:ascii="宋体" w:hAnsi="宋体" w:eastAsia="宋体" w:cs="宋体"/>
        </w:rPr>
        <w:t xml:space="preserve"> </w:t>
      </w:r>
      <w:r/>
    </w:p>
    <w:p>
      <w:pPr>
        <w:pStyle w:val="643"/>
        <w:jc w:val="both"/>
        <w:spacing w:beforeAutospacing="0" w:afterAutospacing="0"/>
        <w:rPr>
          <w:rFonts w:ascii="宋体" w:hAnsi="宋体" w:eastAsia="宋体" w:cs="宋体"/>
        </w:rPr>
      </w:pPr>
      <w:r>
        <w:rPr>
          <w:rFonts w:hint="eastAsia" w:ascii="宋体" w:hAnsi="宋体" w:eastAsia="宋体" w:cs="宋体"/>
        </w:rPr>
        <w:t xml:space="preserve"> </w:t>
      </w:r>
      <w:r/>
    </w:p>
    <w:p>
      <w:pPr>
        <w:pStyle w:val="643"/>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ind w:firstLine="643"/>
        <w:jc w:val="center"/>
        <w:spacing w:beforeAutospacing="0" w:afterAutospacing="0"/>
        <w:rPr>
          <w:rFonts w:ascii="仿宋" w:hAnsi="仿宋" w:eastAsia="仿宋" w:cs="仿宋"/>
          <w:b/>
          <w:i/>
          <w:iCs/>
          <w:color w:val="000000"/>
          <w:sz w:val="32"/>
          <w:szCs w:val="32"/>
          <w:u w:val="single"/>
        </w:rPr>
      </w:pPr>
      <w:r>
        <w:rPr>
          <w:rFonts w:hint="eastAsia" w:ascii="宋体" w:hAnsi="宋体" w:eastAsia="宋体" w:cs="宋体"/>
          <w:b/>
          <w:color w:val="000000"/>
        </w:rPr>
        <w:br w:type="page" w:clear="all"/>
      </w:r>
      <w:r>
        <w:rPr>
          <w:rFonts w:hint="eastAsia" w:ascii="宋体" w:hAnsi="宋体" w:eastAsia="宋体" w:cs="宋体"/>
          <w:b/>
          <w:i/>
          <w:iCs/>
          <w:sz w:val="32"/>
          <w:szCs w:val="32"/>
        </w:rPr>
        <w:t xml:space="preserve">九、</w:t>
      </w:r>
      <w:bookmarkStart w:id="226" w:name="OLE_LINK81"/>
      <w:r/>
      <w:bookmarkStart w:id="227" w:name="OLE_LINK82"/>
      <w:r>
        <w:rPr>
          <w:rFonts w:hint="eastAsia" w:ascii="宋体" w:hAnsi="宋体" w:eastAsia="宋体" w:cs="宋体"/>
          <w:b/>
          <w:i/>
          <w:iCs/>
          <w:sz w:val="32"/>
          <w:szCs w:val="32"/>
        </w:rPr>
        <w:t xml:space="preserve">投标函</w:t>
      </w:r>
      <w:r/>
    </w:p>
    <w:p>
      <w:pPr>
        <w:pStyle w:val="643"/>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43"/>
        <w:spacing w:beforeAutospacing="0" w:afterAutospacing="0" w:line="360" w:lineRule="auto"/>
        <w:rPr>
          <w:rFonts w:ascii="宋体" w:hAnsi="宋体" w:eastAsia="宋体" w:cs="宋体"/>
        </w:rPr>
      </w:pPr>
      <w:r>
        <w:rPr>
          <w:rFonts w:hint="eastAsia" w:ascii="宋体" w:hAnsi="宋体" w:eastAsia="宋体" w:cs="宋体"/>
          <w:color w:val="000000"/>
        </w:rPr>
        <w:t xml:space="preserve">致：滨海县公共资源交易中心</w:t>
      </w:r>
      <w:r/>
    </w:p>
    <w:p>
      <w:pPr>
        <w:pStyle w:val="643"/>
        <w:ind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根据贵方的JSZC-320000-***号招标文件，正式授权下述签字人______(姓名)代表我方______________（投标人的名称），全权处理本次项目投标的有关事宜。</w:t>
      </w:r>
      <w:r/>
    </w:p>
    <w:p>
      <w:pPr>
        <w:pStyle w:val="643"/>
        <w:ind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据此函，__________签字人兹宣布同意如下：</w:t>
      </w:r>
      <w:r/>
    </w:p>
    <w:p>
      <w:pPr>
        <w:pStyle w:val="643"/>
        <w:ind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1.按招标文件规定的各项要求，向买方提供所需服务（包含与服务相关的货物）。</w:t>
      </w:r>
      <w:r/>
    </w:p>
    <w:p>
      <w:pPr>
        <w:pStyle w:val="643"/>
        <w:ind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2.我们完全理解贵方不一定将合同授予最低报价的投标人。</w:t>
      </w:r>
      <w:r/>
    </w:p>
    <w:p>
      <w:pPr>
        <w:pStyle w:val="643"/>
        <w:ind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43"/>
        <w:ind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43"/>
        <w:ind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43"/>
        <w:ind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43"/>
        <w:ind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7.与本投标有关的正式通讯地址为：</w:t>
      </w:r>
      <w:r/>
    </w:p>
    <w:p>
      <w:pPr>
        <w:pStyle w:val="64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地          址：</w:t>
      </w:r>
      <w:r/>
    </w:p>
    <w:p>
      <w:pPr>
        <w:pStyle w:val="64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邮          编：</w:t>
      </w:r>
      <w:r/>
    </w:p>
    <w:p>
      <w:pPr>
        <w:pStyle w:val="64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电          话：</w:t>
      </w:r>
      <w:r/>
    </w:p>
    <w:p>
      <w:pPr>
        <w:pStyle w:val="64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传          真：</w:t>
      </w:r>
      <w:r/>
    </w:p>
    <w:p>
      <w:pPr>
        <w:pStyle w:val="64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投标人开户行：</w:t>
      </w:r>
      <w:r/>
    </w:p>
    <w:p>
      <w:pPr>
        <w:pStyle w:val="64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账          号： </w:t>
      </w:r>
      <w:r/>
    </w:p>
    <w:p>
      <w:pPr>
        <w:pStyle w:val="64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日           期：________年____月____日</w:t>
      </w:r>
      <w:bookmarkEnd w:id="226"/>
      <w:bookmarkEnd w:id="227"/>
      <w:r/>
    </w:p>
    <w:p>
      <w:pPr>
        <w:pStyle w:val="643"/>
        <w:ind w:firstLine="482"/>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ind w:firstLine="482"/>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ind w:firstLine="482"/>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ind w:firstLine="482"/>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ind w:firstLine="482"/>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ind w:firstLine="482"/>
        <w:jc w:val="center"/>
        <w:spacing w:beforeAutospacing="0" w:afterAutospacing="0" w:line="0" w:lineRule="atLeast"/>
        <w:rPr>
          <w:rFonts w:ascii="宋体" w:hAnsi="宋体" w:eastAsia="宋体" w:cs="宋体"/>
        </w:rPr>
      </w:pPr>
      <w:r>
        <w:rPr>
          <w:rFonts w:ascii="宋体" w:hAnsi="宋体" w:eastAsia="宋体" w:cs="宋体"/>
        </w:rPr>
      </w:r>
      <w:r/>
    </w:p>
    <w:p>
      <w:pPr>
        <w:pStyle w:val="643"/>
        <w:ind w:firstLine="643"/>
        <w:jc w:val="center"/>
        <w:spacing w:beforeAutospacing="0" w:afterAutospacing="0" w:line="0" w:lineRule="atLeast"/>
        <w:rPr>
          <w:rFonts w:ascii="宋体" w:hAnsi="宋体" w:eastAsia="宋体" w:cs="宋体"/>
          <w:u w:val="single"/>
        </w:rPr>
      </w:pPr>
      <w:r>
        <w:rPr>
          <w:rFonts w:hint="eastAsia" w:ascii="宋体" w:hAnsi="宋体" w:eastAsia="宋体" w:cs="宋体"/>
          <w:b/>
          <w:sz w:val="32"/>
          <w:szCs w:val="32"/>
          <w:u w:val="single"/>
        </w:rPr>
        <w:t xml:space="preserve">十、</w:t>
      </w:r>
      <w:bookmarkStart w:id="228" w:name="OLE_LINK83"/>
      <w:r>
        <w:rPr>
          <w:rFonts w:hint="eastAsia" w:ascii="宋体" w:hAnsi="宋体" w:eastAsia="宋体" w:cs="宋体"/>
          <w:b/>
          <w:sz w:val="32"/>
          <w:szCs w:val="32"/>
          <w:u w:val="single"/>
        </w:rPr>
        <w:t xml:space="preserve">中小企业声明函（</w:t>
      </w:r>
      <w:r>
        <w:rPr>
          <w:rFonts w:hint="eastAsia" w:ascii="宋体" w:hAnsi="宋体" w:eastAsia="宋体" w:cs="宋体"/>
          <w:b/>
          <w:sz w:val="32"/>
          <w:szCs w:val="32"/>
          <w:u w:val="single"/>
          <w:lang w:val="en-US" w:eastAsia="zh-CN"/>
        </w:rPr>
        <w:t xml:space="preserve">货物</w:t>
      </w:r>
      <w:r>
        <w:rPr>
          <w:rFonts w:hint="eastAsia" w:ascii="宋体" w:hAnsi="宋体" w:eastAsia="宋体" w:cs="宋体"/>
          <w:b/>
          <w:sz w:val="32"/>
          <w:szCs w:val="32"/>
          <w:u w:val="singl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keepLines w:val="0"/>
        <w:keepNext w:val="0"/>
        <w:pageBreakBefore w:val="0"/>
        <w:spacing w:line="52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)的规定，本公司（联合体）参加盐城市政府采购中心组织的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JSZC-320922-JZCG-G2026-0001</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43"/>
        <w:ind w:firstLine="360"/>
        <w:jc w:val="both"/>
        <w:keepLines w:val="0"/>
        <w:keepNext w:val="0"/>
        <w:pageBreakBefore w:val="0"/>
        <w:spacing w:before="0" w:beforeAutospacing="0" w:after="0" w:afterAutospacing="0" w:line="520" w:lineRule="exact"/>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43"/>
        <w:ind w:firstLine="360"/>
        <w:jc w:val="both"/>
        <w:keepLines w:val="0"/>
        <w:keepNext w:val="0"/>
        <w:pageBreakBefore w:val="0"/>
        <w:spacing w:before="0" w:beforeAutospacing="0" w:after="0" w:afterAutospacing="0" w:line="520" w:lineRule="exact"/>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43"/>
        <w:ind w:firstLine="360"/>
        <w:jc w:val="both"/>
        <w:keepLines w:val="0"/>
        <w:keepNext w:val="0"/>
        <w:pageBreakBefore w:val="0"/>
        <w:spacing w:before="0" w:beforeAutospacing="0" w:after="0" w:afterAutospacing="0" w:line="520" w:lineRule="exact"/>
        <w:widowControl w:val="off"/>
        <w:rPr>
          <w:color w:val="auto"/>
          <w:highlight w:val="none"/>
        </w:rPr>
      </w:pPr>
      <w:r>
        <w:rPr>
          <w:rFonts w:hint="eastAsia"/>
          <w:color w:val="auto"/>
          <w:highlight w:val="none"/>
        </w:rPr>
        <w:t xml:space="preserve">……</w:t>
      </w:r>
      <w:r/>
    </w:p>
    <w:p>
      <w:pPr>
        <w:pStyle w:val="643"/>
        <w:ind w:firstLine="360"/>
        <w:jc w:val="both"/>
        <w:keepLines w:val="0"/>
        <w:keepNext w:val="0"/>
        <w:pageBreakBefore w:val="0"/>
        <w:spacing w:before="0" w:beforeAutospacing="0" w:after="0" w:afterAutospacing="0" w:line="520" w:lineRule="exact"/>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43"/>
        <w:ind w:firstLine="360"/>
        <w:jc w:val="both"/>
        <w:keepLines w:val="0"/>
        <w:keepNext w:val="0"/>
        <w:pageBreakBefore w:val="0"/>
        <w:spacing w:before="0" w:beforeAutospacing="0" w:after="0" w:afterAutospacing="0" w:line="5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43"/>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43"/>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43"/>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43"/>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43"/>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43"/>
        <w:ind w:firstLine="482"/>
        <w:jc w:val="both"/>
        <w:spacing w:beforeAutospacing="0" w:afterAutospacing="0" w:line="0" w:lineRule="atLeast"/>
        <w:rPr>
          <w:rFonts w:ascii="宋体" w:hAnsi="宋体" w:eastAsia="宋体" w:cs="宋体"/>
        </w:rPr>
      </w:pPr>
      <w:r>
        <w:rPr>
          <w:rFonts w:hint="eastAsia"/>
          <w:color w:val="000000"/>
          <w:highlight w:val="none"/>
        </w:rPr>
        <w:t xml:space="preserve">备注2：供应商如不提供此声明函，价格将不做相应扣除（如项目全面面向中小企业，则资格审查不通过）。</w:t>
      </w:r>
      <w:r/>
    </w:p>
    <w:p>
      <w:pPr>
        <w:pStyle w:val="643"/>
        <w:ind w:firstLine="643"/>
        <w:jc w:val="center"/>
        <w:spacing w:beforeAutospacing="0" w:afterAutospacing="0" w:line="0" w:lineRule="atLeast"/>
        <w:rPr>
          <w:rFonts w:ascii="宋体" w:hAnsi="宋体" w:eastAsia="宋体" w:cs="宋体"/>
        </w:rPr>
      </w:pPr>
      <w:r>
        <w:rPr>
          <w:rFonts w:hint="eastAsia" w:ascii="宋体" w:hAnsi="宋体" w:eastAsia="宋体" w:cs="宋体"/>
          <w:b/>
          <w:sz w:val="32"/>
          <w:szCs w:val="32"/>
        </w:rPr>
        <w:br w:type="page" w:clear="all"/>
      </w:r>
      <w:bookmarkEnd w:id="228"/>
      <w:r>
        <w:rPr>
          <w:rFonts w:hint="eastAsia" w:ascii="宋体" w:hAnsi="宋体" w:eastAsia="宋体" w:cs="宋体"/>
          <w:b/>
          <w:color w:val="000000"/>
          <w:sz w:val="32"/>
          <w:szCs w:val="32"/>
        </w:rPr>
        <w:t xml:space="preserve"> 十一、</w:t>
      </w:r>
      <w:bookmarkStart w:id="229" w:name="OLE_LINK85"/>
      <w:r/>
      <w:bookmarkStart w:id="230" w:name="OLE_LINK84"/>
      <w:r>
        <w:rPr>
          <w:rFonts w:hint="eastAsia" w:ascii="宋体" w:hAnsi="宋体" w:eastAsia="宋体" w:cs="宋体"/>
          <w:b/>
          <w:color w:val="000000"/>
          <w:sz w:val="32"/>
          <w:szCs w:val="32"/>
        </w:rPr>
        <w:t xml:space="preserve">残疾人福利性单位声明函</w:t>
      </w:r>
      <w:r/>
    </w:p>
    <w:p>
      <w:pPr>
        <w:pStyle w:val="643"/>
        <w:ind w:firstLine="482"/>
        <w:jc w:val="both"/>
        <w:spacing w:beforeAutospacing="0" w:afterAutospacing="0" w:line="360" w:lineRule="auto"/>
        <w:rPr>
          <w:rFonts w:ascii="宋体" w:hAnsi="宋体" w:eastAsia="宋体" w:cs="宋体"/>
          <w:color w:val="000000"/>
        </w:rPr>
      </w:pPr>
      <w:r>
        <w:rPr>
          <w:rFonts w:ascii="宋体" w:hAnsi="宋体" w:eastAsia="宋体" w:cs="宋体"/>
          <w:color w:val="000000"/>
        </w:rPr>
      </w:r>
      <w:r/>
    </w:p>
    <w:p>
      <w:pPr>
        <w:pStyle w:val="643"/>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643"/>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643"/>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643"/>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643"/>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2、中标人为残疾人福利单位的，此声明函将随中标结果同时公告，接受社会监督</w:t>
      </w:r>
      <w:r/>
    </w:p>
    <w:p>
      <w:pPr>
        <w:pStyle w:val="643"/>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643"/>
        <w:ind w:right="1560" w:firstLine="602"/>
        <w:jc w:val="center"/>
        <w:spacing w:beforeAutospacing="0" w:afterAutospacing="0" w:line="360" w:lineRule="auto"/>
        <w:tabs>
          <w:tab w:val="left" w:pos="4864" w:leader="none"/>
        </w:tabs>
        <w:rPr>
          <w:rFonts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          供应商全称（加盖CA电子公章）：</w:t>
      </w:r>
      <w:r/>
    </w:p>
    <w:p>
      <w:pPr>
        <w:pStyle w:val="643"/>
        <w:ind w:right="1560" w:firstLine="482"/>
        <w:jc w:val="center"/>
        <w:spacing w:beforeAutospacing="0" w:afterAutospacing="0" w:line="360" w:lineRule="auto"/>
        <w:tabs>
          <w:tab w:val="left" w:pos="4864" w:leader="none"/>
        </w:tabs>
        <w:rPr>
          <w:rFonts w:ascii="宋体" w:hAnsi="宋体" w:eastAsia="宋体" w:cs="宋体"/>
        </w:rPr>
      </w:pPr>
      <w:r>
        <w:rPr>
          <w:rFonts w:hint="eastAsia" w:ascii="宋体" w:hAnsi="宋体" w:eastAsia="宋体" w:cs="宋体"/>
          <w:color w:val="000000"/>
        </w:rPr>
        <w:t xml:space="preserve">        日  期：</w:t>
      </w:r>
      <w:bookmarkEnd w:id="229"/>
      <w:bookmarkEnd w:id="230"/>
      <w:r/>
    </w:p>
    <w:p>
      <w:pPr>
        <w:pStyle w:val="643"/>
        <w:jc w:val="center"/>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line="0" w:lineRule="atLeast"/>
        <w:rPr>
          <w:rFonts w:ascii="宋体" w:hAnsi="宋体" w:eastAsia="宋体" w:cs="宋体"/>
        </w:rPr>
      </w:pPr>
      <w:r>
        <w:rPr>
          <w:rFonts w:ascii="宋体" w:hAnsi="宋体" w:eastAsia="宋体" w:cs="宋体"/>
        </w:rPr>
      </w:r>
      <w:r/>
    </w:p>
    <w:p>
      <w:pPr>
        <w:pStyle w:val="643"/>
        <w:jc w:val="center"/>
        <w:spacing w:beforeAutospacing="0" w:afterAutospacing="0" w:line="0" w:lineRule="atLeast"/>
        <w:rPr>
          <w:rFonts w:ascii="宋体" w:hAnsi="宋体" w:eastAsia="宋体" w:cs="宋体"/>
        </w:rPr>
      </w:pPr>
      <w:r>
        <w:rPr>
          <w:rFonts w:ascii="宋体" w:hAnsi="宋体" w:eastAsia="宋体" w:cs="宋体"/>
        </w:rPr>
      </w:r>
      <w:r/>
    </w:p>
    <w:p>
      <w:pPr>
        <w:pStyle w:val="643"/>
        <w:jc w:val="center"/>
        <w:spacing w:beforeAutospacing="0" w:afterAutospacing="0" w:line="0" w:lineRule="atLeast"/>
        <w:rPr>
          <w:rFonts w:ascii="宋体" w:hAnsi="宋体" w:eastAsia="宋体" w:cs="宋体"/>
        </w:rPr>
      </w:pPr>
      <w:r>
        <w:rPr>
          <w:rFonts w:ascii="宋体" w:hAnsi="宋体" w:eastAsia="宋体" w:cs="宋体"/>
        </w:rPr>
      </w:r>
      <w:r/>
    </w:p>
    <w:p>
      <w:pPr>
        <w:pStyle w:val="643"/>
        <w:jc w:val="center"/>
        <w:spacing w:beforeAutospacing="0" w:afterAutospacing="0" w:line="0" w:lineRule="atLeast"/>
        <w:rPr>
          <w:rFonts w:ascii="宋体" w:hAnsi="宋体" w:eastAsia="宋体" w:cs="宋体"/>
        </w:rPr>
      </w:pPr>
      <w:r>
        <w:rPr>
          <w:rFonts w:ascii="宋体" w:hAnsi="宋体" w:eastAsia="宋体" w:cs="宋体"/>
        </w:rPr>
      </w:r>
      <w:r/>
    </w:p>
    <w:p>
      <w:pPr>
        <w:pStyle w:val="643"/>
        <w:jc w:val="center"/>
        <w:spacing w:beforeAutospacing="0" w:afterAutospacing="0" w:line="0" w:lineRule="atLeast"/>
        <w:rPr>
          <w:rFonts w:ascii="宋体" w:hAnsi="宋体" w:eastAsia="宋体" w:cs="宋体"/>
        </w:rPr>
      </w:pPr>
      <w:r>
        <w:rPr>
          <w:rFonts w:ascii="宋体" w:hAnsi="宋体" w:eastAsia="宋体" w:cs="宋体"/>
        </w:rPr>
      </w:r>
      <w:r/>
    </w:p>
    <w:p>
      <w:pPr>
        <w:pStyle w:val="643"/>
        <w:jc w:val="center"/>
        <w:spacing w:beforeAutospacing="0" w:afterAutospacing="0" w:line="0" w:lineRule="atLeast"/>
        <w:rPr>
          <w:rFonts w:ascii="宋体" w:hAnsi="宋体" w:eastAsia="宋体" w:cs="宋体"/>
        </w:rPr>
      </w:pPr>
      <w:r>
        <w:rPr>
          <w:rFonts w:ascii="宋体" w:hAnsi="宋体" w:eastAsia="宋体" w:cs="宋体"/>
        </w:rPr>
      </w:r>
      <w:r/>
    </w:p>
    <w:p>
      <w:pPr>
        <w:pStyle w:val="643"/>
        <w:jc w:val="center"/>
        <w:spacing w:beforeAutospacing="0" w:afterAutospacing="0" w:line="0" w:lineRule="atLeast"/>
        <w:rPr>
          <w:rFonts w:ascii="宋体" w:hAnsi="宋体" w:eastAsia="宋体" w:cs="宋体"/>
        </w:rPr>
      </w:pPr>
      <w:r>
        <w:rPr>
          <w:rFonts w:ascii="宋体" w:hAnsi="宋体" w:eastAsia="宋体" w:cs="宋体"/>
        </w:rPr>
      </w:r>
      <w:r/>
    </w:p>
    <w:p>
      <w:pPr>
        <w:pStyle w:val="643"/>
        <w:jc w:val="center"/>
        <w:spacing w:beforeAutospacing="0" w:afterAutospacing="0" w:line="0" w:lineRule="atLeast"/>
        <w:rPr>
          <w:rFonts w:ascii="宋体" w:hAnsi="宋体" w:eastAsia="宋体" w:cs="宋体"/>
        </w:rPr>
      </w:pPr>
      <w:r>
        <w:rPr>
          <w:rFonts w:ascii="宋体" w:hAnsi="宋体" w:eastAsia="宋体" w:cs="宋体"/>
        </w:rPr>
      </w:r>
      <w:r/>
    </w:p>
    <w:p>
      <w:pPr>
        <w:pStyle w:val="643"/>
        <w:jc w:val="center"/>
        <w:spacing w:beforeAutospacing="0" w:afterAutospacing="0" w:line="0" w:lineRule="atLeast"/>
        <w:rPr>
          <w:rFonts w:ascii="宋体" w:hAnsi="宋体" w:eastAsia="宋体" w:cs="宋体"/>
        </w:rPr>
      </w:pPr>
      <w:r>
        <w:rPr>
          <w:rFonts w:ascii="宋体" w:hAnsi="宋体" w:eastAsia="宋体" w:cs="宋体"/>
        </w:rPr>
      </w:r>
      <w:r/>
    </w:p>
    <w:p>
      <w:pPr>
        <w:pStyle w:val="643"/>
        <w:jc w:val="center"/>
        <w:spacing w:beforeAutospacing="0" w:afterAutospacing="0" w:line="0" w:lineRule="atLeast"/>
        <w:rPr>
          <w:rFonts w:ascii="宋体" w:hAnsi="宋体" w:eastAsia="宋体" w:cs="宋体"/>
        </w:rPr>
      </w:pPr>
      <w:r>
        <w:rPr>
          <w:rFonts w:ascii="宋体" w:hAnsi="宋体" w:eastAsia="宋体" w:cs="宋体"/>
        </w:rPr>
      </w:r>
      <w:r/>
    </w:p>
    <w:p>
      <w:pPr>
        <w:pStyle w:val="643"/>
        <w:jc w:val="center"/>
        <w:spacing w:beforeAutospacing="0" w:afterAutospacing="0" w:line="0" w:lineRule="atLeast"/>
        <w:rPr>
          <w:rFonts w:ascii="宋体" w:hAnsi="宋体" w:eastAsia="宋体" w:cs="宋体"/>
        </w:rPr>
      </w:pPr>
      <w:r>
        <w:rPr>
          <w:rFonts w:ascii="宋体" w:hAnsi="宋体" w:eastAsia="宋体" w:cs="宋体"/>
        </w:rPr>
      </w:r>
      <w:r/>
    </w:p>
    <w:p>
      <w:pPr>
        <w:pStyle w:val="643"/>
        <w:ind w:firstLine="643"/>
        <w:jc w:val="center"/>
        <w:spacing w:beforeAutospacing="0" w:afterAutospacing="0"/>
        <w:rPr>
          <w:rFonts w:ascii="宋体" w:hAnsi="宋体" w:eastAsia="宋体" w:cs="宋体"/>
        </w:rPr>
      </w:pPr>
      <w:r>
        <w:rPr>
          <w:rFonts w:hint="eastAsia" w:ascii="宋体" w:hAnsi="宋体" w:eastAsia="宋体" w:cs="宋体"/>
          <w:b/>
          <w:color w:val="000000"/>
          <w:sz w:val="32"/>
          <w:szCs w:val="32"/>
        </w:rPr>
        <w:t xml:space="preserve">十二、</w:t>
      </w:r>
      <w:bookmarkStart w:id="231" w:name="OLE_LINK87"/>
      <w:r/>
      <w:bookmarkStart w:id="232" w:name="OLE_LINK86"/>
      <w:r>
        <w:rPr>
          <w:rFonts w:hint="eastAsia" w:ascii="宋体" w:hAnsi="宋体" w:eastAsia="宋体" w:cs="宋体"/>
          <w:b/>
          <w:color w:val="000000"/>
          <w:sz w:val="32"/>
          <w:szCs w:val="32"/>
        </w:rPr>
        <w:t xml:space="preserve">投标分项报价表</w:t>
      </w:r>
      <w:r/>
    </w:p>
    <w:tbl>
      <w:tblPr>
        <w:tblStyle w:val="633"/>
        <w:tblW w:w="916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861"/>
        <w:gridCol w:w="1556"/>
        <w:gridCol w:w="878"/>
        <w:gridCol w:w="2029"/>
        <w:gridCol w:w="1912"/>
      </w:tblGrid>
      <w:tr>
        <w:trPr>
          <w:tblCellSpacing w:w="0" w:type="dxa"/>
          <w:trHeight w:val="544"/>
        </w:trPr>
        <w:tc>
          <w:tcPr>
            <w:shd w:val="clear" w:color="auto" w:fill="auto"/>
            <w:tcW w:w="924" w:type="dxa"/>
            <w:vAlign w:val="center"/>
            <w:vMerge w:val="restart"/>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序号</w:t>
            </w:r>
            <w:r/>
          </w:p>
        </w:tc>
        <w:tc>
          <w:tcPr>
            <w:shd w:val="clear" w:color="auto" w:fill="auto"/>
            <w:tcW w:w="1861"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1</w:t>
            </w:r>
            <w:r/>
          </w:p>
        </w:tc>
        <w:tc>
          <w:tcPr>
            <w:shd w:val="clear" w:color="auto" w:fill="auto"/>
            <w:tcW w:w="1556"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2</w:t>
            </w:r>
            <w:r/>
          </w:p>
        </w:tc>
        <w:tc>
          <w:tcPr>
            <w:shd w:val="clear" w:color="auto" w:fill="auto"/>
            <w:tcW w:w="878"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3</w:t>
            </w:r>
            <w:r/>
          </w:p>
        </w:tc>
        <w:tc>
          <w:tcPr>
            <w:shd w:val="clear" w:color="auto" w:fill="auto"/>
            <w:tcW w:w="2029"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4</w:t>
            </w:r>
            <w:r/>
          </w:p>
        </w:tc>
        <w:tc>
          <w:tcPr>
            <w:shd w:val="clear" w:color="auto" w:fill="auto"/>
            <w:tcW w:w="1912"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5</w:t>
            </w:r>
            <w:r/>
          </w:p>
        </w:tc>
      </w:tr>
      <w:tr>
        <w:trPr>
          <w:tblCellSpacing w:w="0" w:type="dxa"/>
          <w:trHeight w:val="294"/>
        </w:trPr>
        <w:tc>
          <w:tcPr>
            <w:shd w:val="clear" w:color="auto" w:fill="auto"/>
            <w:tcW w:w="924" w:type="dxa"/>
            <w:vAlign w:val="center"/>
            <w:vMerge w:val="continue"/>
            <w:textDirection w:val="lrTb"/>
            <w:noWrap w:val="false"/>
          </w:tcPr>
          <w:p>
            <w:pPr>
              <w:rPr>
                <w:rFonts w:ascii="宋体" w:hAnsi="宋体" w:eastAsia="宋体" w:cs="宋体"/>
                <w:sz w:val="24"/>
              </w:rPr>
            </w:pPr>
            <w:r>
              <w:rPr>
                <w:rFonts w:ascii="宋体" w:hAnsi="宋体" w:eastAsia="宋体" w:cs="宋体"/>
                <w:sz w:val="24"/>
              </w:rPr>
            </w:r>
            <w:r/>
          </w:p>
        </w:tc>
        <w:tc>
          <w:tcPr>
            <w:shd w:val="clear" w:color="auto" w:fill="auto"/>
            <w:tcW w:w="1861"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分项服务名称</w:t>
            </w:r>
            <w:r/>
          </w:p>
        </w:tc>
        <w:tc>
          <w:tcPr>
            <w:shd w:val="clear" w:color="auto" w:fill="auto"/>
            <w:tcW w:w="1556"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分项单位</w:t>
            </w:r>
            <w:r/>
          </w:p>
        </w:tc>
        <w:tc>
          <w:tcPr>
            <w:shd w:val="clear" w:color="auto" w:fill="auto"/>
            <w:tcW w:w="878"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数量</w:t>
            </w:r>
            <w:r/>
          </w:p>
        </w:tc>
        <w:tc>
          <w:tcPr>
            <w:shd w:val="clear" w:color="auto" w:fill="auto"/>
            <w:tcW w:w="2029"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分项</w:t>
            </w:r>
            <w:r/>
          </w:p>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单价</w:t>
            </w:r>
            <w:r/>
          </w:p>
        </w:tc>
        <w:tc>
          <w:tcPr>
            <w:shd w:val="clear" w:color="auto" w:fill="auto"/>
            <w:tcW w:w="1912"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分项</w:t>
            </w:r>
            <w:r/>
          </w:p>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总价</w:t>
            </w:r>
            <w:r/>
          </w:p>
        </w:tc>
      </w:tr>
      <w:tr>
        <w:trPr>
          <w:tblCellSpacing w:w="0" w:type="dxa"/>
          <w:trHeight w:val="654"/>
        </w:trPr>
        <w:tc>
          <w:tcPr>
            <w:shd w:val="clear" w:color="auto" w:fill="auto"/>
            <w:tcW w:w="924"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1</w:t>
            </w:r>
            <w:r/>
          </w:p>
        </w:tc>
        <w:tc>
          <w:tcPr>
            <w:shd w:val="clear" w:color="auto" w:fill="auto"/>
            <w:tcW w:w="18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成品软件费用</w:t>
            </w:r>
            <w:r/>
          </w:p>
        </w:tc>
        <w:tc>
          <w:tcPr>
            <w:shd w:val="clear" w:color="auto" w:fill="auto"/>
            <w:tcW w:w="15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shd w:val="clear" w:color="auto" w:fill="auto"/>
            <w:tcW w:w="8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auto" w:fill="auto"/>
            <w:tcW w:w="2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auto" w:fill="auto"/>
            <w:tcW w:w="1912"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tc>
      </w:tr>
      <w:tr>
        <w:trPr>
          <w:tblCellSpacing w:w="0" w:type="dxa"/>
          <w:trHeight w:val="654"/>
        </w:trPr>
        <w:tc>
          <w:tcPr>
            <w:shd w:val="clear" w:color="auto" w:fill="auto"/>
            <w:tcW w:w="924"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2</w:t>
            </w:r>
            <w:r/>
          </w:p>
        </w:tc>
        <w:tc>
          <w:tcPr>
            <w:shd w:val="clear" w:color="auto" w:fill="auto"/>
            <w:tcW w:w="18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3年维保费用</w:t>
            </w:r>
            <w:r/>
          </w:p>
        </w:tc>
        <w:tc>
          <w:tcPr>
            <w:shd w:val="clear" w:color="auto" w:fill="auto"/>
            <w:tcW w:w="15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shd w:val="clear" w:color="auto" w:fill="auto"/>
            <w:tcW w:w="878" w:type="dxa"/>
            <w:vAlign w:val="center"/>
            <w:textDirection w:val="lrTb"/>
            <w:noWrap w:val="false"/>
          </w:tcPr>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auto" w:fill="auto"/>
            <w:tcW w:w="2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auto" w:fill="auto"/>
            <w:tcW w:w="1912"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tc>
      </w:tr>
      <w:tr>
        <w:trPr>
          <w:tblCellSpacing w:w="0" w:type="dxa"/>
          <w:trHeight w:val="654"/>
        </w:trPr>
        <w:tc>
          <w:tcPr>
            <w:shd w:val="clear" w:color="auto" w:fill="auto"/>
            <w:tcW w:w="924"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3</w:t>
            </w:r>
            <w:r/>
          </w:p>
        </w:tc>
        <w:tc>
          <w:tcPr>
            <w:shd w:val="clear" w:color="auto" w:fill="auto"/>
            <w:tcW w:w="1861"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556"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878"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2029"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912"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tc>
      </w:tr>
      <w:tr>
        <w:trPr>
          <w:tblCellSpacing w:w="0" w:type="dxa"/>
          <w:trHeight w:val="654"/>
        </w:trPr>
        <w:tc>
          <w:tcPr>
            <w:shd w:val="clear" w:color="auto" w:fill="auto"/>
            <w:tcW w:w="924"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w:t>
            </w:r>
            <w:r/>
          </w:p>
        </w:tc>
        <w:tc>
          <w:tcPr>
            <w:shd w:val="clear" w:color="auto" w:fill="auto"/>
            <w:tcW w:w="1861"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w:t>
            </w:r>
            <w:r/>
          </w:p>
        </w:tc>
        <w:tc>
          <w:tcPr>
            <w:shd w:val="clear" w:color="auto" w:fill="auto"/>
            <w:tcW w:w="1556"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878"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2029"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912" w:type="dxa"/>
            <w:vAlign w:val="center"/>
            <w:textDirection w:val="lrTb"/>
            <w:noWrap w:val="false"/>
          </w:tcPr>
          <w:p>
            <w:pPr>
              <w:pStyle w:val="64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tc>
      </w:tr>
      <w:tr>
        <w:trPr>
          <w:tblCellSpacing w:w="0" w:type="dxa"/>
          <w:trHeight w:val="654"/>
        </w:trPr>
        <w:tc>
          <w:tcPr>
            <w:gridSpan w:val="6"/>
            <w:shd w:val="clear" w:color="auto" w:fill="auto"/>
            <w:tcW w:w="9160" w:type="dxa"/>
            <w:vAlign w:val="center"/>
            <w:textDirection w:val="lrTb"/>
            <w:noWrap w:val="false"/>
          </w:tcPr>
          <w:p>
            <w:pPr>
              <w:pStyle w:val="643"/>
              <w:jc w:val="left"/>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投标总报价（人民币：元）</w:t>
            </w:r>
            <w:r/>
          </w:p>
        </w:tc>
      </w:tr>
    </w:tbl>
    <w:p>
      <w:pPr>
        <w:pStyle w:val="643"/>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备注：1.投标报价采用总承包方式，</w:t>
      </w:r>
      <w:r>
        <w:rPr>
          <w:rFonts w:ascii="SimSun" w:hAnsi="SimSun" w:eastAsia="SimSun" w:cs="SimSun"/>
          <w:color w:val="000000"/>
          <w:sz w:val="21"/>
        </w:rPr>
        <w:t xml:space="preserve">“投标总报价”应包括采购人需求的货物（包含与货物相关的服务）价格</w:t>
      </w:r>
      <w:r>
        <w:rPr>
          <w:rFonts w:hint="eastAsia" w:ascii="宋体" w:hAnsi="宋体" w:eastAsia="宋体" w:cs="宋体"/>
          <w:color w:val="000000"/>
        </w:rPr>
        <w:t xml:space="preserve">、质量保证费用、培训费用等，项目在指定地点、环境交付、安装、调试、验收所需费用和所有相关税金费用及为完成整个项目所产生的其它所有费用，招标文件另有规定的除外。</w:t>
      </w:r>
      <w:r/>
    </w:p>
    <w:p>
      <w:pPr>
        <w:pStyle w:val="643"/>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 “投标分项报价表”中“投标总报价”数额应当与“开标一览表”中“投标总报价”数额一致。</w:t>
      </w:r>
      <w:bookmarkEnd w:id="231"/>
      <w:bookmarkEnd w:id="232"/>
      <w:r/>
    </w:p>
    <w:p>
      <w:pPr>
        <w:pStyle w:val="643"/>
        <w:ind w:firstLine="482"/>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643"/>
        <w:jc w:val="center"/>
        <w:spacing w:beforeAutospacing="0" w:afterAutospacing="0"/>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rPr>
          <w:rFonts w:ascii="宋体" w:hAnsi="宋体" w:eastAsia="宋体" w:cs="宋体"/>
        </w:rPr>
      </w:pPr>
      <w:r>
        <w:rPr>
          <w:rFonts w:ascii="宋体" w:hAnsi="宋体" w:eastAsia="宋体" w:cs="宋体"/>
        </w:rPr>
      </w:r>
      <w:r/>
    </w:p>
    <w:p>
      <w:pPr>
        <w:pStyle w:val="643"/>
        <w:jc w:val="center"/>
        <w:spacing w:beforeAutospacing="0" w:afterAutospacing="0"/>
        <w:rPr>
          <w:rFonts w:ascii="宋体" w:hAnsi="宋体" w:eastAsia="宋体" w:cs="宋体"/>
        </w:rPr>
      </w:pPr>
      <w:r>
        <w:rPr>
          <w:rFonts w:ascii="宋体" w:hAnsi="宋体" w:eastAsia="宋体" w:cs="宋体"/>
        </w:rPr>
      </w:r>
      <w:r/>
    </w:p>
    <w:p>
      <w:pPr>
        <w:pStyle w:val="643"/>
        <w:jc w:val="center"/>
        <w:spacing w:beforeAutospacing="0" w:afterAutospacing="0"/>
        <w:rPr>
          <w:rFonts w:ascii="宋体" w:hAnsi="宋体" w:eastAsia="宋体" w:cs="宋体"/>
        </w:rPr>
      </w:pPr>
      <w:r>
        <w:rPr>
          <w:rFonts w:ascii="宋体" w:hAnsi="宋体" w:eastAsia="宋体" w:cs="宋体"/>
        </w:rPr>
      </w:r>
      <w:r/>
    </w:p>
    <w:p>
      <w:pPr>
        <w:pStyle w:val="643"/>
        <w:jc w:val="center"/>
        <w:spacing w:beforeAutospacing="0" w:afterAutospacing="0"/>
        <w:rPr>
          <w:rFonts w:ascii="宋体" w:hAnsi="宋体" w:eastAsia="宋体" w:cs="宋体"/>
        </w:rPr>
      </w:pPr>
      <w:r>
        <w:rPr>
          <w:rFonts w:ascii="宋体" w:hAnsi="宋体" w:eastAsia="宋体" w:cs="宋体"/>
        </w:rPr>
      </w:r>
      <w:r/>
    </w:p>
    <w:p>
      <w:pPr>
        <w:pStyle w:val="643"/>
        <w:jc w:val="center"/>
        <w:spacing w:beforeAutospacing="0" w:afterAutospacing="0"/>
        <w:rPr>
          <w:rFonts w:ascii="宋体" w:hAnsi="宋体" w:eastAsia="宋体" w:cs="宋体"/>
        </w:rPr>
      </w:pPr>
      <w:r>
        <w:rPr>
          <w:rFonts w:ascii="宋体" w:hAnsi="宋体" w:eastAsia="宋体" w:cs="宋体"/>
        </w:rPr>
      </w:r>
      <w:r/>
    </w:p>
    <w:p>
      <w:pPr>
        <w:pStyle w:val="643"/>
        <w:jc w:val="center"/>
        <w:spacing w:beforeAutospacing="0" w:afterAutospacing="0"/>
        <w:rPr>
          <w:rFonts w:ascii="宋体" w:hAnsi="宋体" w:eastAsia="宋体" w:cs="宋体"/>
        </w:rPr>
      </w:pPr>
      <w:r>
        <w:rPr>
          <w:rFonts w:ascii="宋体" w:hAnsi="宋体" w:eastAsia="宋体" w:cs="宋体"/>
        </w:rPr>
      </w:r>
      <w:r/>
    </w:p>
    <w:p>
      <w:pPr>
        <w:pStyle w:val="643"/>
        <w:jc w:val="center"/>
        <w:spacing w:beforeAutospacing="0" w:afterAutospacing="0"/>
        <w:rPr>
          <w:rFonts w:ascii="宋体" w:hAnsi="宋体" w:eastAsia="宋体" w:cs="宋体"/>
        </w:rPr>
      </w:pPr>
      <w:r>
        <w:rPr>
          <w:rFonts w:ascii="宋体" w:hAnsi="宋体" w:eastAsia="宋体" w:cs="宋体"/>
        </w:rPr>
      </w:r>
      <w:r/>
    </w:p>
    <w:p>
      <w:pPr>
        <w:pStyle w:val="643"/>
        <w:jc w:val="center"/>
        <w:spacing w:beforeAutospacing="0" w:afterAutospacing="0"/>
        <w:rPr>
          <w:rFonts w:ascii="宋体" w:hAnsi="宋体" w:eastAsia="宋体" w:cs="宋体"/>
        </w:rPr>
      </w:pPr>
      <w:r>
        <w:rPr>
          <w:rFonts w:ascii="宋体" w:hAnsi="宋体" w:eastAsia="宋体" w:cs="宋体"/>
        </w:rPr>
      </w:r>
      <w:r/>
    </w:p>
    <w:p>
      <w:pPr>
        <w:pStyle w:val="643"/>
        <w:jc w:val="center"/>
        <w:spacing w:beforeAutospacing="0" w:afterAutospacing="0"/>
        <w:rPr>
          <w:rFonts w:ascii="宋体" w:hAnsi="宋体" w:eastAsia="宋体" w:cs="宋体"/>
        </w:rPr>
      </w:pPr>
      <w:r>
        <w:rPr>
          <w:rFonts w:ascii="宋体" w:hAnsi="宋体" w:eastAsia="宋体" w:cs="宋体"/>
        </w:rPr>
      </w:r>
      <w:r/>
    </w:p>
    <w:p>
      <w:pPr>
        <w:pStyle w:val="643"/>
        <w:jc w:val="center"/>
        <w:spacing w:beforeAutospacing="0" w:afterAutospacing="0"/>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rPr>
          <w:rFonts w:ascii="宋体" w:hAnsi="宋体" w:eastAsia="宋体" w:cs="宋体"/>
        </w:rPr>
      </w:pPr>
      <w:r>
        <w:rPr>
          <w:rFonts w:ascii="宋体" w:hAnsi="宋体" w:eastAsia="宋体" w:cs="宋体"/>
        </w:rPr>
      </w:r>
      <w:r/>
    </w:p>
    <w:p>
      <w:pPr>
        <w:pStyle w:val="643"/>
        <w:jc w:val="center"/>
        <w:spacing w:beforeAutospacing="0" w:afterAutospacing="0"/>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rPr>
          <w:rFonts w:ascii="宋体" w:hAnsi="宋体" w:eastAsia="宋体" w:cs="宋体"/>
        </w:rPr>
      </w:pPr>
      <w:r>
        <w:rPr>
          <w:rFonts w:hint="eastAsia" w:ascii="宋体" w:hAnsi="宋体" w:eastAsia="宋体" w:cs="宋体"/>
        </w:rPr>
        <w:t xml:space="preserve"> </w:t>
      </w:r>
      <w:r/>
    </w:p>
    <w:p>
      <w:pPr>
        <w:pStyle w:val="643"/>
        <w:ind w:firstLine="643"/>
        <w:jc w:val="center"/>
        <w:spacing w:beforeAutospacing="0" w:afterAutospacing="0"/>
        <w:rPr>
          <w:rFonts w:ascii="宋体" w:hAnsi="宋体" w:eastAsia="宋体" w:cs="宋体"/>
        </w:rPr>
      </w:pPr>
      <w:r>
        <w:rPr>
          <w:rFonts w:hint="eastAsia" w:ascii="宋体" w:hAnsi="宋体" w:eastAsia="宋体" w:cs="宋体"/>
          <w:b/>
          <w:color w:val="000000"/>
          <w:sz w:val="32"/>
          <w:szCs w:val="32"/>
        </w:rPr>
        <w:t xml:space="preserve">十三、</w:t>
      </w:r>
      <w:bookmarkStart w:id="233" w:name="OLE_LINK88"/>
      <w:r/>
      <w:bookmarkStart w:id="234" w:name="OLE_LINK89"/>
      <w:r>
        <w:rPr>
          <w:rFonts w:hint="eastAsia" w:ascii="宋体" w:hAnsi="宋体" w:eastAsia="宋体" w:cs="宋体"/>
          <w:b/>
          <w:color w:val="000000"/>
          <w:sz w:val="32"/>
          <w:szCs w:val="32"/>
          <w:lang w:val="en-US" w:eastAsia="zh-CN"/>
        </w:rPr>
        <w:t xml:space="preserve">采购需求</w:t>
      </w:r>
      <w:r>
        <w:rPr>
          <w:rFonts w:hint="eastAsia" w:ascii="宋体" w:hAnsi="宋体" w:eastAsia="宋体" w:cs="宋体"/>
          <w:b/>
          <w:color w:val="000000"/>
          <w:sz w:val="32"/>
          <w:szCs w:val="32"/>
        </w:rPr>
        <w:t xml:space="preserve">响应及偏离表</w:t>
      </w:r>
      <w:r/>
    </w:p>
    <w:tbl>
      <w:tblPr>
        <w:tblStyle w:val="633"/>
        <w:tblW w:w="8781"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082"/>
        <w:gridCol w:w="1665"/>
        <w:gridCol w:w="1470"/>
      </w:tblGrid>
      <w:tr>
        <w:trPr>
          <w:tblCellSpacing w:w="0" w:type="dxa"/>
        </w:trPr>
        <w:tc>
          <w:tcPr>
            <w:shd w:val="clear" w:color="auto" w:fill="auto"/>
            <w:tcW w:w="538"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序号</w:t>
            </w:r>
            <w:r/>
          </w:p>
        </w:tc>
        <w:tc>
          <w:tcPr>
            <w:shd w:val="clear" w:color="auto" w:fill="auto"/>
            <w:tcW w:w="3026"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招标文件要求</w:t>
            </w:r>
            <w:r/>
          </w:p>
        </w:tc>
        <w:tc>
          <w:tcPr>
            <w:shd w:val="clear" w:color="auto" w:fill="auto"/>
            <w:tcW w:w="2082"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投标响应情况</w:t>
            </w:r>
            <w:r/>
          </w:p>
        </w:tc>
        <w:tc>
          <w:tcPr>
            <w:shd w:val="clear" w:color="auto" w:fill="auto"/>
            <w:tcW w:w="1665"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正偏离、等同于或负偏离</w:t>
            </w:r>
            <w:r/>
          </w:p>
        </w:tc>
        <w:tc>
          <w:tcPr>
            <w:shd w:val="clear" w:color="auto" w:fill="auto"/>
            <w:tcW w:w="1470"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证明材料（如有）</w:t>
            </w:r>
            <w:r/>
          </w:p>
        </w:tc>
      </w:tr>
      <w:tr>
        <w:trPr>
          <w:tblCellSpacing w:w="0" w:type="dxa"/>
          <w:trHeight w:val="640"/>
        </w:trPr>
        <w:tc>
          <w:tcPr>
            <w:shd w:val="clear" w:color="auto" w:fill="auto"/>
            <w:tcW w:w="538" w:type="dxa"/>
            <w:vAlign w:val="center"/>
            <w:textDirection w:val="lrTb"/>
            <w:noWrap w:val="false"/>
          </w:tcPr>
          <w:p>
            <w:pPr>
              <w:pStyle w:val="643"/>
              <w:jc w:val="both"/>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r>
            <w:r/>
          </w:p>
        </w:tc>
        <w:tc>
          <w:tcPr>
            <w:shd w:val="clear" w:color="auto" w:fill="auto"/>
            <w:tcW w:w="3026" w:type="dxa"/>
            <w:vAlign w:val="center"/>
            <w:textDirection w:val="lrTb"/>
            <w:noWrap w:val="false"/>
          </w:tcPr>
          <w:p>
            <w:pPr>
              <w:pStyle w:val="643"/>
              <w:jc w:val="both"/>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082" w:type="dxa"/>
            <w:vAlign w:val="center"/>
            <w:textDirection w:val="lrTb"/>
            <w:noWrap w:val="false"/>
          </w:tcPr>
          <w:p>
            <w:pPr>
              <w:pStyle w:val="643"/>
              <w:jc w:val="both"/>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665" w:type="dxa"/>
            <w:vAlign w:val="center"/>
            <w:textDirection w:val="lrTb"/>
            <w:noWrap w:val="false"/>
          </w:tcPr>
          <w:p>
            <w:pPr>
              <w:pStyle w:val="643"/>
              <w:jc w:val="both"/>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470" w:type="dxa"/>
            <w:vAlign w:val="center"/>
            <w:textDirection w:val="lrTb"/>
            <w:noWrap w:val="false"/>
          </w:tcPr>
          <w:p>
            <w:pPr>
              <w:pStyle w:val="643"/>
              <w:jc w:val="both"/>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r>
      <w:tr>
        <w:trPr>
          <w:tblCellSpacing w:w="0" w:type="dxa"/>
          <w:trHeight w:val="640"/>
        </w:trPr>
        <w:tc>
          <w:tcPr>
            <w:shd w:val="clear" w:color="auto" w:fill="auto"/>
            <w:tcW w:w="538"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3026" w:type="dxa"/>
            <w:vAlign w:val="center"/>
            <w:textDirection w:val="lrTb"/>
            <w:noWrap w:val="false"/>
          </w:tcPr>
          <w:p>
            <w:pPr>
              <w:pStyle w:val="643"/>
              <w:jc w:val="both"/>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082"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665"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470"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r>
      <w:tr>
        <w:trPr>
          <w:tblCellSpacing w:w="0" w:type="dxa"/>
          <w:trHeight w:val="640"/>
        </w:trPr>
        <w:tc>
          <w:tcPr>
            <w:shd w:val="clear" w:color="auto" w:fill="auto"/>
            <w:tcW w:w="538"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3026" w:type="dxa"/>
            <w:vAlign w:val="center"/>
            <w:textDirection w:val="lrTb"/>
            <w:noWrap w:val="false"/>
          </w:tcPr>
          <w:p>
            <w:pPr>
              <w:ind w:firstLine="420"/>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shd w:val="clear" w:color="auto" w:fill="auto"/>
            <w:tcW w:w="2082"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665"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470"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r>
      <w:tr>
        <w:trPr>
          <w:tblCellSpacing w:w="0" w:type="dxa"/>
          <w:trHeight w:val="640"/>
        </w:trPr>
        <w:tc>
          <w:tcPr>
            <w:shd w:val="clear" w:color="auto" w:fill="auto"/>
            <w:tcW w:w="538"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3026"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W w:w="2082"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665"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470"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r>
      <w:tr>
        <w:trPr>
          <w:tblCellSpacing w:w="0" w:type="dxa"/>
          <w:trHeight w:val="640"/>
        </w:trPr>
        <w:tc>
          <w:tcPr>
            <w:shd w:val="clear" w:color="auto" w:fill="auto"/>
            <w:tcW w:w="538"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3026"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2082"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665"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470"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r>
      <w:tr>
        <w:trPr>
          <w:tblCellSpacing w:w="0" w:type="dxa"/>
          <w:trHeight w:val="640"/>
        </w:trPr>
        <w:tc>
          <w:tcPr>
            <w:shd w:val="clear" w:color="auto" w:fill="auto"/>
            <w:tcW w:w="538"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3026"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2082"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665"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470"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r>
      <w:tr>
        <w:trPr>
          <w:tblCellSpacing w:w="0" w:type="dxa"/>
          <w:trHeight w:val="640"/>
        </w:trPr>
        <w:tc>
          <w:tcPr>
            <w:shd w:val="clear" w:color="auto" w:fill="auto"/>
            <w:tcW w:w="538"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3026"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2082"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665"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470"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r>
      <w:tr>
        <w:trPr>
          <w:tblCellSpacing w:w="0" w:type="dxa"/>
          <w:trHeight w:val="640"/>
        </w:trPr>
        <w:tc>
          <w:tcPr>
            <w:shd w:val="clear" w:color="auto" w:fill="auto"/>
            <w:tcW w:w="538"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3026"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w:t>
            </w:r>
            <w:r/>
          </w:p>
        </w:tc>
        <w:tc>
          <w:tcPr>
            <w:shd w:val="clear" w:color="auto" w:fill="auto"/>
            <w:tcW w:w="2082"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665"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shd w:val="clear" w:color="auto" w:fill="auto"/>
            <w:tcW w:w="1470" w:type="dxa"/>
            <w:vAlign w:val="center"/>
            <w:textDirection w:val="lrTb"/>
            <w:noWrap w:val="false"/>
          </w:tcPr>
          <w:p>
            <w:pPr>
              <w:pStyle w:val="643"/>
              <w:jc w:val="center"/>
              <w:keepLines w:val="0"/>
              <w:keepNext w:val="0"/>
              <w:pageBreakBefore w:val="0"/>
              <w:spacing w:beforeAutospacing="0" w:afterAutospacing="0"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r>
    </w:tbl>
    <w:p>
      <w:pPr>
        <w:pStyle w:val="643"/>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注：行数不够，可自行添加。</w:t>
      </w:r>
      <w:r/>
    </w:p>
    <w:p>
      <w:pPr>
        <w:numPr>
          <w:ilvl w:val="0"/>
          <w:numId w:val="0"/>
        </w:numPr>
        <w:ind w:left="-360" w:firstLine="480"/>
        <w:keepLines w:val="0"/>
        <w:keepNext w:val="0"/>
        <w:pageBreakBefore w:val="0"/>
        <w:spacing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对照招标文件第四章采购需求全部内容，如有“正偏离、等同于、负偏离”条款，须在上表中描述，如与招标文件要求的条款一致可不描述（不描述视为与招标文件一致）。要求投标时提供的相关证明文件可另附。</w:t>
      </w:r>
      <w:r/>
    </w:p>
    <w:p>
      <w:pPr>
        <w:numPr>
          <w:ilvl w:val="0"/>
          <w:numId w:val="0"/>
        </w:numPr>
        <w:ind w:left="-360" w:firstLine="480"/>
        <w:keepLines w:val="0"/>
        <w:keepNext w:val="0"/>
        <w:pageBreakBefore w:val="0"/>
        <w:spacing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2.行数不够，可自行添加。</w:t>
      </w:r>
      <w:r/>
    </w:p>
    <w:p>
      <w:pPr>
        <w:ind w:left="-360" w:firstLine="480"/>
        <w:spacing w:line="360" w:lineRule="auto"/>
        <w:widowControl/>
        <w:rPr>
          <w:rFonts w:ascii="宋体" w:hAnsi="宋体" w:eastAsia="宋体" w:cs="宋体"/>
          <w:color w:val="000000"/>
          <w:sz w:val="24"/>
        </w:rPr>
      </w:pPr>
      <w:r>
        <w:rPr>
          <w:rFonts w:ascii="宋体" w:hAnsi="宋体" w:eastAsia="宋体" w:cs="宋体"/>
          <w:color w:val="000000"/>
          <w:sz w:val="24"/>
        </w:rPr>
      </w:r>
      <w:bookmarkEnd w:id="233"/>
      <w:bookmarkEnd w:id="234"/>
      <w:r/>
    </w:p>
    <w:p>
      <w:pPr>
        <w:pStyle w:val="643"/>
        <w:jc w:val="center"/>
        <w:spacing w:beforeAutospacing="0" w:afterAutospacing="0"/>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rPr>
          <w:rFonts w:ascii="宋体" w:hAnsi="宋体" w:eastAsia="宋体" w:cs="宋体"/>
        </w:rPr>
      </w:pPr>
      <w:r>
        <w:rPr>
          <w:rFonts w:hint="eastAsia" w:ascii="宋体" w:hAnsi="宋体" w:eastAsia="宋体" w:cs="宋体"/>
        </w:rPr>
        <w:t xml:space="preserve"> </w:t>
      </w:r>
      <w:r/>
    </w:p>
    <w:p>
      <w:pPr>
        <w:rPr>
          <w:rFonts w:hint="eastAsia" w:ascii="宋体" w:hAnsi="宋体" w:eastAsia="宋体" w:cs="宋体"/>
          <w:b/>
          <w:color w:val="000000"/>
          <w:sz w:val="32"/>
          <w:szCs w:val="32"/>
        </w:rPr>
      </w:pPr>
      <w:r>
        <w:rPr>
          <w:rFonts w:hint="eastAsia" w:ascii="宋体" w:hAnsi="宋体" w:eastAsia="宋体" w:cs="宋体"/>
        </w:rPr>
        <w:t xml:space="preserve"> </w:t>
      </w:r>
      <w:bookmarkStart w:id="235" w:name="_Hlt26955054"/>
      <w:r>
        <w:rPr>
          <w:rFonts w:hint="eastAsia" w:ascii="宋体" w:hAnsi="宋体" w:eastAsia="宋体" w:cs="宋体"/>
          <w:b/>
          <w:color w:val="000000"/>
          <w:sz w:val="32"/>
          <w:szCs w:val="32"/>
        </w:rPr>
        <w:br w:type="page" w:clear="all"/>
      </w:r>
      <w:r/>
    </w:p>
    <w:p>
      <w:pPr>
        <w:pStyle w:val="643"/>
        <w:jc w:val="center"/>
        <w:spacing w:beforeAutospacing="0" w:afterAutospacing="0"/>
        <w:rPr>
          <w:rFonts w:ascii="宋体" w:hAnsi="宋体" w:eastAsia="宋体" w:cs="宋体"/>
        </w:rPr>
      </w:pPr>
      <w:r>
        <w:rPr>
          <w:rFonts w:hint="eastAsia" w:ascii="宋体" w:hAnsi="宋体" w:eastAsia="宋体" w:cs="宋体"/>
          <w:b/>
          <w:color w:val="000000"/>
          <w:sz w:val="32"/>
          <w:szCs w:val="32"/>
        </w:rPr>
        <w:t xml:space="preserve">十四、</w:t>
      </w:r>
      <w:bookmarkStart w:id="236" w:name="OLE_LINK90"/>
      <w:r/>
      <w:bookmarkStart w:id="237" w:name="OLE_LINK91"/>
      <w:r>
        <w:rPr>
          <w:rFonts w:hint="eastAsia" w:ascii="宋体" w:hAnsi="宋体" w:eastAsia="宋体" w:cs="宋体"/>
          <w:b/>
          <w:color w:val="000000"/>
          <w:sz w:val="32"/>
          <w:szCs w:val="32"/>
        </w:rPr>
        <w:t xml:space="preserve">商务要求响应及偏离表</w:t>
      </w:r>
      <w:r/>
    </w:p>
    <w:tbl>
      <w:tblPr>
        <w:tblStyle w:val="633"/>
        <w:tblW w:w="879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739"/>
        <w:gridCol w:w="2284"/>
        <w:gridCol w:w="1605"/>
        <w:gridCol w:w="1501"/>
      </w:tblGrid>
      <w:tr>
        <w:trPr>
          <w:tblCellSpacing w:w="0" w:type="dxa"/>
        </w:trPr>
        <w:tc>
          <w:tcPr>
            <w:shd w:val="clear" w:color="auto" w:fill="auto"/>
            <w:tcW w:w="66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bookmarkStart w:id="238" w:name="_Hlt26580838"/>
            <w:r/>
            <w:bookmarkStart w:id="239" w:name="_Hlt26955056"/>
            <w:r/>
            <w:bookmarkStart w:id="240" w:name="_Hlt24879081"/>
            <w:r/>
            <w:bookmarkStart w:id="241" w:name="_Hlt26671343"/>
            <w:r/>
            <w:bookmarkStart w:id="242" w:name="_Hlt26955064"/>
            <w:r/>
            <w:bookmarkStart w:id="243" w:name="_Hlt26671372"/>
            <w:r/>
            <w:bookmarkStart w:id="244" w:name="_Hlt26782999"/>
            <w:r/>
            <w:bookmarkStart w:id="245" w:name="_Hlt26609391"/>
            <w:r>
              <w:rPr>
                <w:rFonts w:hint="eastAsia" w:asciiTheme="minorEastAsia" w:hAnsiTheme="minorEastAsia" w:eastAsiaTheme="minorEastAsia" w:cstheme="minorEastAsia"/>
                <w:color w:val="000000"/>
                <w:sz w:val="24"/>
                <w:szCs w:val="24"/>
              </w:rPr>
              <w:t xml:space="preserve">序号</w:t>
            </w:r>
            <w:bookmarkEnd w:id="238"/>
            <w:r/>
            <w:bookmarkEnd w:id="239"/>
            <w:r/>
            <w:bookmarkEnd w:id="240"/>
            <w:r/>
            <w:bookmarkEnd w:id="241"/>
            <w:r/>
            <w:bookmarkEnd w:id="242"/>
            <w:r/>
            <w:bookmarkEnd w:id="243"/>
            <w:r/>
            <w:bookmarkEnd w:id="244"/>
            <w:r/>
            <w:bookmarkEnd w:id="245"/>
            <w:r/>
            <w:r/>
          </w:p>
        </w:tc>
        <w:tc>
          <w:tcPr>
            <w:shd w:val="clear" w:color="auto" w:fill="auto"/>
            <w:tcW w:w="2739"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招标文件要求</w:t>
            </w:r>
            <w:r/>
          </w:p>
        </w:tc>
        <w:tc>
          <w:tcPr>
            <w:shd w:val="clear" w:color="auto" w:fill="auto"/>
            <w:tcW w:w="2284"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投标响应情况</w:t>
            </w:r>
            <w:r/>
          </w:p>
        </w:tc>
        <w:tc>
          <w:tcPr>
            <w:shd w:val="clear" w:color="auto" w:fill="auto"/>
            <w:tcW w:w="1605"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正偏离、等同于或负偏离</w:t>
            </w:r>
            <w:r/>
          </w:p>
        </w:tc>
        <w:tc>
          <w:tcPr>
            <w:shd w:val="clear" w:color="auto" w:fill="auto"/>
            <w:tcW w:w="150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证明材料（如有）</w:t>
            </w:r>
            <w:r/>
          </w:p>
        </w:tc>
      </w:tr>
      <w:tr>
        <w:trPr>
          <w:tblCellSpacing w:w="0" w:type="dxa"/>
          <w:trHeight w:val="640"/>
        </w:trPr>
        <w:tc>
          <w:tcPr>
            <w:shd w:val="clear" w:color="auto" w:fill="auto"/>
            <w:tcW w:w="661" w:type="dxa"/>
            <w:vAlign w:val="center"/>
            <w:textDirection w:val="lrTb"/>
            <w:noWrap w:val="false"/>
          </w:tcPr>
          <w:p>
            <w:pPr>
              <w:pStyle w:val="643"/>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2739" w:type="dxa"/>
            <w:vAlign w:val="center"/>
            <w:textDirection w:val="lrTb"/>
            <w:noWrap w:val="false"/>
          </w:tcPr>
          <w:p>
            <w:pPr>
              <w:pStyle w:val="643"/>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en-US" w:eastAsia="zh-CN"/>
              </w:rPr>
              <w:t xml:space="preserve">项目建设周期</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合同签订后6个月内</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sz w:val="24"/>
                <w:szCs w:val="24"/>
              </w:rPr>
              <w:t xml:space="preserve"> </w:t>
            </w:r>
            <w:r/>
          </w:p>
        </w:tc>
        <w:tc>
          <w:tcPr>
            <w:shd w:val="clear" w:color="auto" w:fill="auto"/>
            <w:tcW w:w="2284"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W w:w="1605"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W w:w="150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40"/>
        </w:trPr>
        <w:tc>
          <w:tcPr>
            <w:shd w:val="clear" w:color="auto" w:fill="auto"/>
            <w:tcW w:w="661" w:type="dxa"/>
            <w:vAlign w:val="center"/>
            <w:textDirection w:val="lrTb"/>
            <w:noWrap w:val="false"/>
          </w:tcPr>
          <w:p>
            <w:pPr>
              <w:pStyle w:val="643"/>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W w:w="2739" w:type="dxa"/>
            <w:vAlign w:val="center"/>
            <w:textDirection w:val="lrTb"/>
            <w:noWrap w:val="false"/>
          </w:tcPr>
          <w:p>
            <w:pPr>
              <w:ind w:firstLine="480"/>
              <w:keepLines w:val="0"/>
              <w:keepNext w:val="0"/>
              <w:pageBreakBefore w:val="0"/>
              <w:spacing w:line="26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lang w:val="en-US" w:eastAsia="zh-CN" w:bidi="ar-SA"/>
              </w:rPr>
              <w:t xml:space="preserve">付款方式</w:t>
            </w:r>
            <w:r>
              <w:rPr>
                <w:rFonts w:hint="eastAsia" w:asciiTheme="minorEastAsia" w:hAnsiTheme="minorEastAsia" w:cstheme="minorEastAsia"/>
                <w:color w:val="000000"/>
                <w:sz w:val="24"/>
                <w:szCs w:val="24"/>
                <w:lang w:val="en-US" w:eastAsia="zh-CN" w:bidi="ar-SA"/>
              </w:rPr>
              <w:t xml:space="preserve">:</w:t>
            </w:r>
            <w:r/>
          </w:p>
          <w:p>
            <w:pPr>
              <w:ind w:firstLine="480"/>
              <w:keepLines w:val="0"/>
              <w:keepNext w:val="0"/>
              <w:pageBreakBefore w:val="0"/>
              <w:spacing w:line="2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合同预付款比例为合同金额的30%，合同签订后，甲方在收到发票后10个工作日内将预付款支付到合同约定的乙方账户（乙方须提供合同总价30%的银行保函）。签订合同时，乙方书面明确表示无需预付款的，甲方可不支付预付款。</w:t>
            </w:r>
            <w:r/>
          </w:p>
          <w:p>
            <w:pPr>
              <w:ind w:firstLine="480"/>
              <w:keepLines w:val="0"/>
              <w:keepNext w:val="0"/>
              <w:pageBreakBefore w:val="0"/>
              <w:spacing w:line="2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软件正式上线并经甲方验收合格后后，甲方支付至合同金额的80%，维保期满后支付至100%。（结算时，乙方需提供有效发票）</w:t>
            </w:r>
            <w:r/>
          </w:p>
          <w:p>
            <w:pPr>
              <w:ind w:firstLine="480"/>
              <w:keepLines w:val="0"/>
              <w:keepNext w:val="0"/>
              <w:pageBreakBefore w:val="0"/>
              <w:spacing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注：乙方在甲方支付预付款前，必须提供预付款同等金额的银行保函，以确保甲方的资金安全。该保函必须是无条件即索即兑的银行保函，保函有效期为签订合同后12个月，</w:t>
            </w:r>
            <w:r>
              <w:rPr>
                <w:rFonts w:hint="eastAsia" w:ascii="宋体" w:hAnsi="宋体" w:eastAsia="宋体" w:cs="宋体"/>
                <w:sz w:val="24"/>
                <w:lang w:val="en-US" w:eastAsia="zh-CN"/>
              </w:rPr>
              <w:t xml:space="preserve">保函开具行必须为采购人认可的国有商业银行</w:t>
            </w:r>
            <w:r>
              <w:rPr>
                <w:rFonts w:hint="eastAsia" w:asciiTheme="minorEastAsia" w:hAnsiTheme="minorEastAsia" w:eastAsiaTheme="minorEastAsia" w:cstheme="minorEastAsia"/>
                <w:sz w:val="24"/>
                <w:szCs w:val="24"/>
                <w:lang w:val="en-US" w:eastAsia="zh-CN"/>
              </w:rPr>
              <w:t xml:space="preserve">，且须完全符合甲方要求。如乙方在签订合同前15日内未按上述要求提供银行保函，则视为乙方无需预付款，付款方式调整为软件正式上线并经甲方验收合格后后，甲方支付至合同金额的80%，维保期满后支付至100%。（甲方收到发票后10个工作日内支付相应款项，如有扣款，扣除后不再支付）。</w:t>
            </w:r>
            <w:r/>
          </w:p>
        </w:tc>
        <w:tc>
          <w:tcPr>
            <w:shd w:val="clear" w:color="auto" w:fill="auto"/>
            <w:tcW w:w="2284"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W w:w="1605"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W w:w="150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40"/>
        </w:trPr>
        <w:tc>
          <w:tcPr>
            <w:shd w:val="clear" w:color="auto" w:fill="auto"/>
            <w:tcW w:w="66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auto" w:fill="auto"/>
            <w:tcW w:w="2739" w:type="dxa"/>
            <w:vAlign w:val="center"/>
            <w:textDirection w:val="lrTb"/>
            <w:noWrap w:val="false"/>
          </w:tcPr>
          <w:p>
            <w:pPr>
              <w:pStyle w:val="643"/>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投标报价不得高于最高限价</w:t>
            </w:r>
            <w:r>
              <w:rPr>
                <w:rFonts w:hint="eastAsia" w:asciiTheme="minorEastAsia" w:hAnsiTheme="minorEastAsia" w:cstheme="minorEastAsia"/>
                <w:sz w:val="24"/>
                <w:szCs w:val="24"/>
                <w:lang w:eastAsia="zh-CN"/>
              </w:rPr>
              <w:t xml:space="preserve">90万元</w:t>
            </w:r>
            <w:r>
              <w:rPr>
                <w:rFonts w:hint="eastAsia" w:asciiTheme="minorEastAsia" w:hAnsiTheme="minorEastAsia" w:eastAsiaTheme="minorEastAsia" w:cstheme="minorEastAsia"/>
                <w:sz w:val="24"/>
                <w:szCs w:val="24"/>
              </w:rPr>
              <w:t xml:space="preserve"> </w:t>
            </w:r>
            <w:r/>
          </w:p>
        </w:tc>
        <w:tc>
          <w:tcPr>
            <w:shd w:val="clear" w:color="auto" w:fill="auto"/>
            <w:tcW w:w="2284"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W w:w="1605"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W w:w="150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40"/>
        </w:trPr>
        <w:tc>
          <w:tcPr>
            <w:shd w:val="clear" w:color="auto" w:fill="auto"/>
            <w:tcW w:w="66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4</w:t>
            </w:r>
            <w:r/>
          </w:p>
        </w:tc>
        <w:tc>
          <w:tcPr>
            <w:shd w:val="clear" w:color="auto" w:fill="auto"/>
            <w:tcW w:w="2739" w:type="dxa"/>
            <w:vAlign w:val="center"/>
            <w:textDirection w:val="lrTb"/>
            <w:noWrap w:val="false"/>
          </w:tcPr>
          <w:p>
            <w:pPr>
              <w:pStyle w:val="643"/>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宋体" w:hAnsi="宋体" w:eastAsia="宋体" w:cs="宋体"/>
                <w:lang w:val="en-US" w:eastAsia="zh-CN"/>
              </w:rPr>
              <w:t xml:space="preserve">系统维保期限：3年</w:t>
            </w:r>
            <w:r/>
          </w:p>
        </w:tc>
        <w:tc>
          <w:tcPr>
            <w:shd w:val="clear" w:color="auto" w:fill="auto"/>
            <w:tcW w:w="2284"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1605"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150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blCellSpacing w:w="0" w:type="dxa"/>
          <w:trHeight w:val="640"/>
        </w:trPr>
        <w:tc>
          <w:tcPr>
            <w:shd w:val="clear" w:color="auto" w:fill="auto"/>
            <w:tcW w:w="66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5</w:t>
            </w:r>
            <w:r/>
          </w:p>
        </w:tc>
        <w:tc>
          <w:tcPr>
            <w:shd w:val="clear" w:color="auto" w:fill="auto"/>
            <w:tcW w:w="2739" w:type="dxa"/>
            <w:vAlign w:val="center"/>
            <w:textDirection w:val="lrTb"/>
            <w:noWrap w:val="false"/>
          </w:tcPr>
          <w:p>
            <w:pPr>
              <w:pStyle w:val="643"/>
              <w:keepLines w:val="0"/>
              <w:keepNext w:val="0"/>
              <w:pageBreakBefore w:val="0"/>
              <w:spacing w:beforeAutospacing="0" w:afterAutospacing="0" w:line="260" w:lineRule="exact"/>
              <w:widowControl w:val="off"/>
              <w:rPr>
                <w:rFonts w:hint="eastAsia" w:ascii="宋体" w:hAnsi="宋体" w:eastAsia="宋体" w:cs="宋体"/>
                <w:lang w:val="en-US" w:eastAsia="zh-CN"/>
              </w:rPr>
            </w:pPr>
            <w:r>
              <w:rPr>
                <w:rFonts w:hint="eastAsia" w:ascii="宋体" w:hAnsi="宋体" w:eastAsia="宋体"/>
              </w:rPr>
              <w:t xml:space="preserve">服务标准：合格</w:t>
            </w:r>
            <w:r/>
          </w:p>
        </w:tc>
        <w:tc>
          <w:tcPr>
            <w:shd w:val="clear" w:color="auto" w:fill="auto"/>
            <w:tcW w:w="2284"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1605"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150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blCellSpacing w:w="0" w:type="dxa"/>
          <w:trHeight w:val="640"/>
        </w:trPr>
        <w:tc>
          <w:tcPr>
            <w:shd w:val="clear" w:color="auto" w:fill="auto"/>
            <w:tcW w:w="66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sz w:val="24"/>
                <w:szCs w:val="24"/>
                <w:lang w:val="en-US" w:eastAsia="zh-CN"/>
              </w:rPr>
              <w:t xml:space="preserve">6</w:t>
            </w:r>
            <w:r/>
          </w:p>
        </w:tc>
        <w:tc>
          <w:tcPr>
            <w:shd w:val="clear" w:color="auto" w:fill="auto"/>
            <w:tcW w:w="2739"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投标有效期90日历天 </w:t>
            </w:r>
            <w:r/>
          </w:p>
        </w:tc>
        <w:tc>
          <w:tcPr>
            <w:shd w:val="clear" w:color="auto" w:fill="auto"/>
            <w:tcW w:w="2284"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W w:w="1605"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W w:w="150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40"/>
        </w:trPr>
        <w:tc>
          <w:tcPr>
            <w:shd w:val="clear" w:color="auto" w:fill="auto"/>
            <w:tcW w:w="66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W w:w="2739"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W w:w="2284"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W w:w="1605"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auto" w:fill="auto"/>
            <w:tcW w:w="1501" w:type="dxa"/>
            <w:vAlign w:val="center"/>
            <w:textDirection w:val="lrTb"/>
            <w:noWrap w:val="false"/>
          </w:tcPr>
          <w:p>
            <w:pPr>
              <w:pStyle w:val="64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bl>
    <w:p>
      <w:pPr>
        <w:pStyle w:val="643"/>
        <w:jc w:val="both"/>
        <w:spacing w:beforeAutospacing="0" w:afterAutospacing="0"/>
        <w:rPr>
          <w:rFonts w:ascii="宋体" w:hAnsi="宋体" w:eastAsia="宋体" w:cs="宋体"/>
        </w:rPr>
      </w:pPr>
      <w:r>
        <w:rPr>
          <w:rFonts w:hint="eastAsia" w:ascii="宋体" w:hAnsi="宋体" w:eastAsia="宋体" w:cs="宋体"/>
          <w:color w:val="000000"/>
        </w:rPr>
        <w:t xml:space="preserve">注： 行数不够，可自行添加。</w:t>
      </w:r>
      <w:r/>
    </w:p>
    <w:p>
      <w:pPr>
        <w:pStyle w:val="643"/>
        <w:jc w:val="both"/>
        <w:spacing w:beforeAutospacing="0" w:afterAutospacing="0" w:line="480" w:lineRule="auto"/>
        <w:rPr>
          <w:rFonts w:ascii="宋体" w:hAnsi="宋体" w:eastAsia="宋体" w:cs="宋体"/>
        </w:rPr>
      </w:pPr>
      <w:r>
        <w:rPr>
          <w:rFonts w:hint="eastAsia" w:ascii="宋体" w:hAnsi="宋体" w:eastAsia="宋体" w:cs="宋体"/>
        </w:rPr>
        <w:t xml:space="preserve"> </w:t>
      </w:r>
      <w:bookmarkEnd w:id="236"/>
      <w:bookmarkEnd w:id="237"/>
      <w:r/>
    </w:p>
    <w:p>
      <w:pPr>
        <w:pStyle w:val="643"/>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643"/>
        <w:jc w:val="center"/>
        <w:spacing w:beforeAutospacing="0" w:afterAutospacing="0"/>
        <w:rPr>
          <w:rFonts w:ascii="宋体" w:hAnsi="宋体" w:eastAsia="宋体" w:cs="宋体"/>
        </w:rPr>
      </w:pPr>
      <w:r/>
      <w:bookmarkStart w:id="246" w:name="_Hlt26671374"/>
      <w:r/>
      <w:bookmarkStart w:id="247" w:name="_Hlt26955066"/>
      <w:r/>
      <w:bookmarkStart w:id="248" w:name="_Toc462564146"/>
      <w:r/>
      <w:bookmarkStart w:id="249" w:name="_Hlt26609389"/>
      <w:r/>
      <w:bookmarkStart w:id="250" w:name="_格式2__法定代表人授权书"/>
      <w:r>
        <w:rPr>
          <w:rFonts w:hint="eastAsia" w:ascii="宋体" w:hAnsi="宋体" w:eastAsia="宋体" w:cs="宋体"/>
        </w:rPr>
        <w:t xml:space="preserve"> </w:t>
      </w:r>
      <w:r/>
    </w:p>
    <w:p>
      <w:pPr>
        <w:rPr>
          <w:rFonts w:ascii="宋体" w:hAnsi="宋体" w:eastAsia="宋体" w:cs="宋体"/>
          <w:b/>
          <w:i/>
          <w:sz w:val="32"/>
          <w:szCs w:val="32"/>
        </w:rPr>
      </w:pPr>
      <w:r>
        <w:rPr>
          <w:rFonts w:hint="eastAsia" w:ascii="宋体" w:hAnsi="宋体" w:eastAsia="宋体" w:cs="宋体"/>
        </w:rPr>
        <w:t xml:space="preserve"> </w:t>
      </w:r>
      <w:r/>
    </w:p>
    <w:p>
      <w:pPr>
        <w:rPr>
          <w:rFonts w:hint="eastAsia" w:ascii="宋体" w:hAnsi="宋体" w:eastAsia="宋体" w:cs="宋体"/>
          <w:b/>
          <w:i/>
          <w:sz w:val="32"/>
          <w:szCs w:val="32"/>
        </w:rPr>
      </w:pPr>
      <w:r>
        <w:rPr>
          <w:rFonts w:hint="eastAsia" w:ascii="宋体" w:hAnsi="宋体" w:eastAsia="宋体" w:cs="宋体"/>
          <w:b/>
          <w:i/>
          <w:sz w:val="32"/>
          <w:szCs w:val="32"/>
        </w:rPr>
        <w:br w:type="page" w:clear="all"/>
      </w:r>
      <w:r/>
    </w:p>
    <w:p>
      <w:pPr>
        <w:pStyle w:val="643"/>
        <w:ind w:firstLine="643"/>
        <w:jc w:val="center"/>
        <w:spacing w:beforeAutospacing="0" w:afterAutospacing="0"/>
        <w:rPr>
          <w:rFonts w:ascii="宋体" w:hAnsi="宋体" w:eastAsia="宋体" w:cs="宋体"/>
        </w:rPr>
      </w:pPr>
      <w:r>
        <w:rPr>
          <w:rFonts w:hint="eastAsia" w:ascii="宋体" w:hAnsi="宋体" w:eastAsia="宋体" w:cs="宋体"/>
          <w:b/>
          <w:i/>
          <w:sz w:val="32"/>
          <w:szCs w:val="32"/>
        </w:rPr>
        <w:t xml:space="preserve">十五、开标一览表</w:t>
      </w:r>
      <w:r/>
    </w:p>
    <w:p>
      <w:pPr>
        <w:pStyle w:val="643"/>
        <w:ind w:firstLine="482"/>
        <w:jc w:val="both"/>
        <w:spacing w:beforeAutospacing="0" w:afterAutospacing="0"/>
        <w:rPr>
          <w:rFonts w:ascii="宋体" w:hAnsi="宋体" w:eastAsia="宋体" w:cs="宋体"/>
        </w:rPr>
      </w:pPr>
      <w:r>
        <w:rPr>
          <w:rFonts w:hint="eastAsia" w:ascii="宋体" w:hAnsi="宋体" w:eastAsia="宋体" w:cs="宋体"/>
        </w:rPr>
        <w:t xml:space="preserve">投标人全称（加盖CA电子签章）：</w:t>
      </w:r>
      <w:r/>
    </w:p>
    <w:p>
      <w:pPr>
        <w:pStyle w:val="643"/>
        <w:ind w:firstLine="482"/>
        <w:jc w:val="both"/>
        <w:spacing w:beforeAutospacing="0" w:afterAutospacing="0"/>
        <w:rPr>
          <w:rFonts w:ascii="宋体" w:hAnsi="宋体" w:eastAsia="宋体" w:cs="宋体"/>
        </w:rPr>
      </w:pPr>
      <w:r>
        <w:rPr>
          <w:rFonts w:hint="eastAsia" w:ascii="宋体" w:hAnsi="宋体" w:eastAsia="宋体" w:cs="宋体"/>
        </w:rPr>
        <w:t xml:space="preserve">项目名称：</w:t>
      </w:r>
      <w:r/>
    </w:p>
    <w:p>
      <w:pPr>
        <w:pStyle w:val="643"/>
        <w:ind w:firstLine="482"/>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643"/>
        <w:ind w:firstLine="482"/>
        <w:jc w:val="both"/>
        <w:spacing w:beforeAutospacing="0" w:afterAutospacing="0"/>
        <w:rPr>
          <w:rFonts w:ascii="宋体" w:hAnsi="宋体" w:eastAsia="宋体" w:cs="宋体"/>
        </w:rPr>
      </w:pPr>
      <w:r>
        <w:rPr>
          <w:rFonts w:hint="eastAsia" w:ascii="宋体" w:hAnsi="宋体" w:eastAsia="宋体" w:cs="宋体"/>
        </w:rPr>
        <w:t xml:space="preserve">分包号：</w:t>
      </w:r>
      <w:r/>
    </w:p>
    <w:tbl>
      <w:tblPr>
        <w:tblStyle w:val="633"/>
        <w:tblW w:w="8206"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W w:w="8206" w:type="dxa"/>
            <w:vAlign w:val="center"/>
            <w:textDirection w:val="lrTb"/>
            <w:noWrap w:val="false"/>
          </w:tcPr>
          <w:p>
            <w:pPr>
              <w:pStyle w:val="643"/>
              <w:jc w:val="center"/>
              <w:spacing w:beforeAutospacing="0" w:afterAutospacing="0"/>
              <w:rPr>
                <w:rFonts w:ascii="宋体" w:hAnsi="宋体" w:eastAsia="宋体" w:cs="宋体"/>
              </w:rPr>
            </w:pPr>
            <w:r>
              <w:rPr>
                <w:rFonts w:hint="eastAsia" w:ascii="宋体" w:hAnsi="宋体" w:eastAsia="宋体" w:cs="宋体"/>
              </w:rPr>
              <w:t xml:space="preserve">投标总价</w:t>
            </w:r>
            <w:r/>
          </w:p>
        </w:tc>
      </w:tr>
      <w:tr>
        <w:trPr>
          <w:tblCellSpacing w:w="0" w:type="dxa"/>
          <w:trHeight w:val="612"/>
        </w:trPr>
        <w:tc>
          <w:tcPr>
            <w:shd w:val="clear" w:color="auto" w:fill="auto"/>
            <w:tcW w:w="8206" w:type="dxa"/>
            <w:vAlign w:val="center"/>
            <w:textDirection w:val="lrTb"/>
            <w:noWrap w:val="false"/>
          </w:tcPr>
          <w:p>
            <w:pPr>
              <w:pStyle w:val="643"/>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W w:w="8206" w:type="dxa"/>
            <w:vAlign w:val="center"/>
            <w:textDirection w:val="lrTb"/>
            <w:noWrap w:val="false"/>
          </w:tcPr>
          <w:p>
            <w:pPr>
              <w:pStyle w:val="643"/>
              <w:spacing w:beforeAutospacing="0" w:afterAutospacing="0" w:line="0" w:lineRule="atLeast"/>
              <w:rPr>
                <w:rFonts w:ascii="宋体" w:hAnsi="宋体" w:eastAsia="宋体" w:cs="宋体"/>
              </w:rPr>
            </w:pPr>
            <w:r>
              <w:rPr>
                <w:rFonts w:hint="eastAsia" w:ascii="宋体" w:hAnsi="宋体" w:eastAsia="宋体" w:cs="宋体"/>
              </w:rPr>
              <w:t xml:space="preserve">小写：                  （人民币：元）</w:t>
            </w:r>
            <w:r/>
          </w:p>
        </w:tc>
      </w:tr>
      <w:tr>
        <w:trPr>
          <w:tblCellSpacing w:w="0" w:type="dxa"/>
          <w:trHeight w:val="612"/>
        </w:trPr>
        <w:tc>
          <w:tcPr>
            <w:shd w:val="clear" w:color="auto" w:fill="auto"/>
            <w:tcW w:w="8206" w:type="dxa"/>
            <w:vAlign w:val="center"/>
            <w:textDirection w:val="lrTb"/>
            <w:noWrap w:val="false"/>
          </w:tcPr>
          <w:p>
            <w:pPr>
              <w:pStyle w:val="643"/>
              <w:spacing w:beforeAutospacing="0" w:afterAutospacing="0" w:line="0" w:lineRule="atLeast"/>
              <w:rPr>
                <w:rFonts w:hint="default" w:ascii="宋体" w:hAnsi="宋体" w:eastAsia="宋体" w:cs="宋体"/>
                <w:lang w:val="en-US" w:eastAsia="zh-CN"/>
              </w:rPr>
            </w:pPr>
            <w:r>
              <w:rPr>
                <w:rFonts w:hint="eastAsia" w:ascii="宋体" w:hAnsi="宋体" w:eastAsia="宋体"/>
                <w:sz w:val="24"/>
                <w:lang w:val="en-US" w:eastAsia="zh-CN"/>
              </w:rPr>
              <w:t xml:space="preserve">项目建设周期</w:t>
            </w:r>
            <w:r>
              <w:rPr>
                <w:rFonts w:hint="eastAsia" w:ascii="宋体" w:hAnsi="宋体" w:eastAsia="宋体"/>
                <w:sz w:val="24"/>
              </w:rPr>
              <w:t xml:space="preserve">：</w:t>
            </w:r>
            <w:r>
              <w:rPr>
                <w:rFonts w:hint="eastAsia" w:ascii="宋体" w:hAnsi="宋体" w:eastAsia="宋体" w:cs="Times New Roman"/>
                <w:sz w:val="24"/>
                <w:lang w:val="en-US" w:eastAsia="zh-CN"/>
              </w:rPr>
              <w:t xml:space="preserve">合同签</w:t>
            </w:r>
            <w:r>
              <w:rPr>
                <w:rFonts w:hint="eastAsia" w:ascii="宋体" w:hAnsi="宋体" w:eastAsia="宋体" w:cs="Times New Roman"/>
                <w:sz w:val="24"/>
                <w:highlight w:val="none"/>
                <w:lang w:val="en-US" w:eastAsia="zh-CN"/>
              </w:rPr>
              <w:t xml:space="preserve">订后6</w:t>
            </w:r>
            <w:r>
              <w:rPr>
                <w:rFonts w:hint="eastAsia" w:ascii="宋体" w:hAnsi="宋体" w:eastAsia="宋体" w:cs="Times New Roman"/>
                <w:sz w:val="24"/>
                <w:lang w:val="en-US" w:eastAsia="zh-CN"/>
              </w:rPr>
              <w:t xml:space="preserve">个月内</w:t>
            </w:r>
            <w:r/>
          </w:p>
        </w:tc>
      </w:tr>
    </w:tbl>
    <w:p>
      <w:pPr>
        <w:pStyle w:val="643"/>
        <w:jc w:val="both"/>
        <w:spacing w:beforeAutospacing="0" w:afterAutospacing="0"/>
        <w:rPr>
          <w:rFonts w:ascii="宋体" w:hAnsi="宋体" w:eastAsia="宋体" w:cs="宋体"/>
        </w:rPr>
      </w:pPr>
      <w:r>
        <w:rPr>
          <w:rFonts w:hint="eastAsia" w:ascii="宋体" w:hAnsi="宋体" w:eastAsia="宋体" w:cs="宋体"/>
        </w:rPr>
        <w:t xml:space="preserve"> </w:t>
      </w:r>
      <w:r/>
    </w:p>
    <w:p>
      <w:pPr>
        <w:pStyle w:val="643"/>
        <w:ind w:firstLine="482"/>
        <w:jc w:val="both"/>
        <w:spacing w:beforeAutospacing="0" w:afterAutospacing="0"/>
        <w:rPr>
          <w:rFonts w:ascii="宋体" w:hAnsi="宋体" w:eastAsia="宋体" w:cs="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43"/>
        <w:ind w:firstLine="482"/>
        <w:jc w:val="both"/>
        <w:spacing w:beforeAutospacing="0" w:afterAutospacing="0"/>
        <w:rPr>
          <w:rFonts w:ascii="宋体" w:hAnsi="宋体" w:eastAsia="宋体" w:cs="宋体"/>
        </w:rPr>
      </w:pPr>
      <w:r>
        <w:rPr>
          <w:rFonts w:hint="eastAsia" w:ascii="宋体" w:hAnsi="宋体" w:eastAsia="宋体" w:cs="宋体"/>
        </w:rPr>
        <w:t xml:space="preserve"> </w:t>
      </w:r>
      <w:r/>
    </w:p>
    <w:p>
      <w:pPr>
        <w:jc w:val="center"/>
        <w:spacing w:before="156" w:after="156"/>
        <w:widowControl/>
        <w:rPr>
          <w:rFonts w:ascii="宋体" w:hAnsi="宋体" w:eastAsia="宋体" w:cs="宋体"/>
        </w:rPr>
      </w:pPr>
      <w:r>
        <w:rPr>
          <w:rFonts w:hint="eastAsia" w:ascii="宋体" w:hAnsi="宋体" w:eastAsia="宋体" w:cs="宋体"/>
        </w:rPr>
        <w:tab/>
      </w:r>
      <w:r/>
    </w:p>
    <w:p>
      <w:pPr>
        <w:jc w:val="center"/>
        <w:spacing w:before="156" w:after="156"/>
        <w:widowControl/>
        <w:rPr>
          <w:rFonts w:ascii="宋体" w:hAnsi="宋体" w:eastAsia="宋体" w:cs="宋体"/>
        </w:rPr>
      </w:pPr>
      <w:r>
        <w:rPr>
          <w:rFonts w:ascii="宋体" w:hAnsi="宋体" w:eastAsia="宋体" w:cs="宋体"/>
        </w:rPr>
      </w:r>
      <w:r/>
    </w:p>
    <w:p>
      <w:pPr>
        <w:pStyle w:val="649"/>
        <w:rPr>
          <w:rFonts w:hAnsi="宋体" w:eastAsia="宋体"/>
        </w:rPr>
      </w:pPr>
      <w:r>
        <w:rPr>
          <w:rFonts w:hAnsi="宋体" w:eastAsia="宋体"/>
        </w:rPr>
      </w:r>
      <w:r/>
    </w:p>
    <w:p>
      <w:pPr>
        <w:pStyle w:val="649"/>
        <w:rPr>
          <w:rFonts w:hAnsi="宋体" w:eastAsia="宋体"/>
        </w:rPr>
      </w:pPr>
      <w:r>
        <w:rPr>
          <w:rFonts w:hAnsi="宋体" w:eastAsia="宋体"/>
        </w:rPr>
      </w:r>
      <w:r/>
    </w:p>
    <w:p>
      <w:pPr>
        <w:pStyle w:val="649"/>
        <w:rPr>
          <w:rFonts w:hAnsi="宋体" w:eastAsia="宋体"/>
        </w:rPr>
      </w:pPr>
      <w:r>
        <w:rPr>
          <w:rFonts w:hAnsi="宋体" w:eastAsia="宋体"/>
        </w:rPr>
      </w:r>
      <w:r/>
    </w:p>
    <w:p>
      <w:pPr>
        <w:pStyle w:val="649"/>
        <w:rPr>
          <w:rFonts w:hAnsi="宋体" w:eastAsia="宋体"/>
        </w:rPr>
      </w:pPr>
      <w:r>
        <w:rPr>
          <w:rFonts w:hAnsi="宋体" w:eastAsia="宋体"/>
        </w:rPr>
      </w:r>
      <w:r/>
    </w:p>
    <w:p>
      <w:pPr>
        <w:pStyle w:val="649"/>
        <w:rPr>
          <w:rFonts w:hAnsi="宋体" w:eastAsia="宋体"/>
        </w:rPr>
      </w:pPr>
      <w:r>
        <w:rPr>
          <w:rFonts w:hAnsi="宋体" w:eastAsia="宋体"/>
        </w:rPr>
      </w:r>
      <w:r/>
    </w:p>
    <w:p>
      <w:pPr>
        <w:pStyle w:val="649"/>
        <w:rPr>
          <w:rFonts w:hAnsi="宋体" w:eastAsia="宋体"/>
        </w:rPr>
      </w:pPr>
      <w:r>
        <w:rPr>
          <w:rFonts w:hAnsi="宋体" w:eastAsia="宋体"/>
        </w:rPr>
      </w:r>
      <w:r/>
    </w:p>
    <w:p>
      <w:pPr>
        <w:pStyle w:val="649"/>
        <w:rPr>
          <w:rFonts w:hAnsi="宋体" w:eastAsia="宋体"/>
        </w:rPr>
      </w:pPr>
      <w:r>
        <w:rPr>
          <w:rFonts w:hAnsi="宋体" w:eastAsia="宋体"/>
        </w:rPr>
      </w:r>
      <w:r/>
    </w:p>
    <w:p>
      <w:pPr>
        <w:pStyle w:val="649"/>
        <w:rPr>
          <w:rFonts w:hAnsi="宋体" w:eastAsia="宋体"/>
        </w:rPr>
      </w:pPr>
      <w:r>
        <w:rPr>
          <w:rFonts w:hAnsi="宋体" w:eastAsia="宋体"/>
        </w:rPr>
      </w:r>
      <w:r/>
    </w:p>
    <w:p>
      <w:pPr>
        <w:pStyle w:val="649"/>
        <w:rPr>
          <w:rFonts w:hAnsi="宋体" w:eastAsia="宋体"/>
        </w:rPr>
      </w:pPr>
      <w:r>
        <w:rPr>
          <w:rFonts w:hAnsi="宋体" w:eastAsia="宋体"/>
        </w:rPr>
      </w:r>
      <w:r/>
    </w:p>
    <w:p>
      <w:pPr>
        <w:pStyle w:val="649"/>
        <w:rPr>
          <w:rFonts w:hAnsi="宋体" w:eastAsia="宋体"/>
        </w:rPr>
      </w:pPr>
      <w:r>
        <w:rPr>
          <w:rFonts w:hAnsi="宋体" w:eastAsia="宋体"/>
        </w:rPr>
      </w:r>
      <w:r/>
    </w:p>
    <w:p>
      <w:pPr>
        <w:pStyle w:val="649"/>
        <w:rPr>
          <w:rFonts w:hAnsi="宋体" w:eastAsia="宋体"/>
        </w:rPr>
      </w:pPr>
      <w:r>
        <w:rPr>
          <w:rFonts w:hAnsi="宋体" w:eastAsia="宋体"/>
        </w:rPr>
      </w:r>
      <w:r/>
    </w:p>
    <w:p>
      <w:pPr>
        <w:pStyle w:val="649"/>
        <w:rPr>
          <w:rFonts w:hAnsi="宋体" w:eastAsia="宋体"/>
        </w:rPr>
      </w:pPr>
      <w:r>
        <w:rPr>
          <w:rFonts w:hAnsi="宋体" w:eastAsia="宋体"/>
        </w:rPr>
      </w:r>
      <w:r/>
    </w:p>
    <w:p>
      <w:pPr>
        <w:pStyle w:val="649"/>
        <w:rPr>
          <w:rFonts w:hAnsi="宋体" w:eastAsia="宋体"/>
        </w:rPr>
      </w:pPr>
      <w:r>
        <w:rPr>
          <w:rFonts w:hAnsi="宋体" w:eastAsia="宋体"/>
        </w:rPr>
      </w:r>
      <w:r/>
    </w:p>
    <w:p>
      <w:pPr>
        <w:jc w:val="center"/>
        <w:spacing w:before="156" w:after="156"/>
        <w:widowControl/>
        <w:rPr>
          <w:rFonts w:ascii="宋体" w:hAnsi="宋体" w:eastAsia="宋体" w:cs="宋体"/>
        </w:rPr>
      </w:pPr>
      <w:r>
        <w:rPr>
          <w:rFonts w:ascii="宋体" w:hAnsi="宋体" w:eastAsia="宋体" w:cs="宋体"/>
        </w:rPr>
      </w:r>
      <w:r/>
    </w:p>
    <w:p>
      <w:pPr>
        <w:jc w:val="center"/>
        <w:spacing w:before="156" w:after="156"/>
        <w:widowControl/>
        <w:rPr>
          <w:rFonts w:ascii="宋体" w:hAnsi="宋体" w:eastAsia="宋体" w:cs="宋体"/>
        </w:rPr>
      </w:pPr>
      <w:r>
        <w:rPr>
          <w:rFonts w:ascii="宋体" w:hAnsi="宋体" w:eastAsia="宋体" w:cs="宋体"/>
        </w:rPr>
      </w:r>
      <w:r/>
    </w:p>
    <w:p>
      <w:pPr>
        <w:rPr>
          <w:rFonts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ind w:firstLine="643"/>
        <w:jc w:val="center"/>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六</w:t>
      </w:r>
      <w:r>
        <w:rPr>
          <w:rFonts w:hint="eastAsia" w:ascii="宋体" w:hAnsi="宋体" w:eastAsia="宋体" w:cs="宋体"/>
          <w:b/>
          <w:bCs/>
          <w:color w:val="000000"/>
          <w:sz w:val="32"/>
          <w:szCs w:val="32"/>
        </w:rPr>
        <w:t xml:space="preserve">、盐城市政府采购事前信用承诺书</w:t>
      </w:r>
      <w:r/>
    </w:p>
    <w:p>
      <w:pPr>
        <w:ind w:firstLine="643"/>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2"/>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2"/>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  月  日</w:t>
      </w:r>
      <w:r/>
    </w:p>
    <w:p>
      <w:pPr>
        <w:pStyle w:val="643"/>
        <w:jc w:val="center"/>
        <w:spacing w:beforeAutospacing="0" w:afterAutospacing="0"/>
        <w:rPr>
          <w:rFonts w:ascii="宋体" w:hAnsi="宋体" w:eastAsia="宋体" w:cs="宋体"/>
        </w:rPr>
      </w:pPr>
      <w:r>
        <w:rPr>
          <w:rFonts w:ascii="宋体" w:hAnsi="宋体" w:eastAsia="宋体" w:cs="宋体"/>
        </w:rPr>
      </w:r>
      <w:r/>
    </w:p>
    <w:p>
      <w:pPr>
        <w:pStyle w:val="643"/>
        <w:jc w:val="center"/>
        <w:spacing w:beforeAutospacing="0" w:afterAutospacing="0"/>
        <w:rPr>
          <w:rFonts w:ascii="宋体" w:hAnsi="宋体" w:eastAsia="宋体" w:cs="宋体"/>
        </w:rPr>
      </w:pPr>
      <w:r>
        <w:rPr>
          <w:rFonts w:ascii="宋体" w:hAnsi="宋体" w:eastAsia="宋体" w:cs="宋体"/>
        </w:rPr>
      </w:r>
      <w:bookmarkEnd w:id="223"/>
      <w:bookmarkEnd w:id="224"/>
      <w:bookmarkEnd w:id="225"/>
      <w:bookmarkEnd w:id="235"/>
      <w:bookmarkEnd w:id="246"/>
      <w:bookmarkEnd w:id="247"/>
      <w:bookmarkEnd w:id="248"/>
      <w:bookmarkEnd w:id="249"/>
      <w:bookmarkEnd w:id="250"/>
      <w:r/>
    </w:p>
    <w:p>
      <w:pPr>
        <w:pStyle w:val="643"/>
        <w:jc w:val="center"/>
        <w:spacing w:beforeAutospacing="0" w:afterAutospacing="0"/>
        <w:rPr>
          <w:rFonts w:ascii="宋体" w:hAnsi="宋体" w:eastAsia="宋体" w:cs="宋体"/>
        </w:rPr>
      </w:pPr>
      <w:r>
        <w:rPr>
          <w:rFonts w:ascii="宋体" w:hAnsi="宋体" w:eastAsia="宋体" w:cs="宋体"/>
        </w:rPr>
      </w:r>
      <w:r/>
    </w:p>
    <w:p>
      <w:pPr>
        <w:jc w:val="center"/>
        <w:rPr>
          <w:rFonts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七</w:t>
      </w:r>
      <w:r>
        <w:rPr>
          <w:rFonts w:hint="eastAsia" w:ascii="宋体" w:hAnsi="宋体" w:eastAsia="宋体" w:cs="宋体"/>
          <w:b/>
          <w:bCs/>
          <w:color w:val="000000"/>
          <w:sz w:val="32"/>
          <w:szCs w:val="32"/>
        </w:rPr>
        <w:t xml:space="preserve">、其他材料（如有）</w:t>
      </w:r>
      <w:r/>
    </w:p>
    <w:p>
      <w:pPr>
        <w:pStyle w:val="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rPr>
          <w:rFonts w:ascii="宋体" w:hAnsi="宋体" w:eastAsia="宋体" w:cs="宋体"/>
          <w:b/>
          <w:sz w:val="32"/>
          <w:szCs w:val="32"/>
        </w:rPr>
      </w:pPr>
      <w:r>
        <w:rPr>
          <w:rFonts w:hint="eastAsia" w:ascii="宋体" w:hAnsi="宋体" w:eastAsia="宋体" w:cs="宋体"/>
          <w:b/>
          <w:sz w:val="32"/>
          <w:szCs w:val="32"/>
        </w:rPr>
        <w:br w:type="page" w:clear="all"/>
      </w:r>
      <w:r/>
    </w:p>
    <w:p>
      <w:pPr>
        <w:pStyle w:val="643"/>
        <w:jc w:val="center"/>
        <w:spacing w:beforeAutospacing="0" w:afterAutospacing="0"/>
        <w:rPr>
          <w:rFonts w:ascii="宋体" w:hAnsi="宋体" w:eastAsia="宋体" w:cs="宋体"/>
          <w:b/>
          <w:sz w:val="32"/>
          <w:szCs w:val="32"/>
        </w:rPr>
      </w:pPr>
      <w:r/>
      <w:bookmarkStart w:id="251" w:name="OLE_LINK95"/>
      <w:r/>
      <w:bookmarkStart w:id="252" w:name="OLE_LINK94"/>
      <w:r>
        <w:rPr>
          <w:rFonts w:hint="eastAsia" w:ascii="宋体" w:hAnsi="宋体" w:eastAsia="宋体" w:cs="宋体"/>
          <w:b/>
          <w:sz w:val="32"/>
          <w:szCs w:val="32"/>
        </w:rPr>
        <w:t xml:space="preserve">质疑函范本</w:t>
      </w:r>
      <w:r/>
    </w:p>
    <w:p>
      <w:pPr>
        <w:pStyle w:val="643"/>
        <w:jc w:val="both"/>
        <w:spacing w:before="290"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43"/>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643"/>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43"/>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643"/>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643"/>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643"/>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3"/>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43"/>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43"/>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643"/>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bookmarkEnd w:id="251"/>
      <w:bookmarkEnd w:id="252"/>
      <w:r/>
    </w:p>
    <w:p>
      <w:pPr>
        <w:pStyle w:val="643"/>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Symbol">
    <w:panose1 w:val="05050102010706020507"/>
  </w:font>
  <w:font w:name="仿宋">
    <w:panose1 w:val="02010609060101010101"/>
  </w:font>
  <w:font w:name="等线">
    <w:panose1 w:val="02010600030101010101"/>
  </w:font>
  <w:font w:name="华文楷体">
    <w:panose1 w:val="02010600040101010101"/>
  </w:font>
  <w:font w:name="Wingdings">
    <w:panose1 w:val="05000000000000000000"/>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Verdana">
    <w:panose1 w:val="020B060403050404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p>
  <w:p>
    <w:pPr>
      <w:pStyle w:val="6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pPr>
    </w:lvl>
    <w:lvl w:ilvl="1">
      <w:start w:val="1"/>
      <w:numFmt w:val="decimal"/>
      <w:isLgl w:val="false"/>
      <w:suff w:val="tab"/>
      <w:lvlText w:val="%1.%2"/>
      <w:lvlJc w:val="left"/>
      <w:pPr>
        <w:ind w:left="860" w:hanging="576"/>
      </w:pPr>
    </w:lvl>
    <w:lvl w:ilvl="2">
      <w:start w:val="1"/>
      <w:numFmt w:val="decimal"/>
      <w:pStyle w:val="630"/>
      <w:isLgl w:val="false"/>
      <w:suff w:val="tab"/>
      <w:lvlText w:val="%1.%2.%3"/>
      <w:lvlJc w:val="left"/>
      <w:pPr>
        <w:ind w:left="720" w:hanging="720"/>
      </w:pPr>
    </w:lvl>
    <w:lvl w:ilvl="3">
      <w:start w:val="1"/>
      <w:numFmt w:val="decimal"/>
      <w:pStyle w:val="631"/>
      <w:isLgl w:val="false"/>
      <w:suff w:val="tab"/>
      <w:lvlText w:val="%1.%2.%3.%4"/>
      <w:lvlJc w:val="left"/>
      <w:pPr>
        <w:ind w:left="1857" w:hanging="864"/>
      </w:pPr>
    </w:lvl>
    <w:lvl w:ilvl="4">
      <w:start w:val="1"/>
      <w:numFmt w:val="decimal"/>
      <w:isLgl w:val="false"/>
      <w:suff w:val="tab"/>
      <w:lvlText w:val="%1.%2.%3.%4.%5"/>
      <w:lvlJc w:val="left"/>
      <w:pPr>
        <w:ind w:left="582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2"/>
    <w:link w:val="628"/>
    <w:uiPriority w:val="9"/>
    <w:rPr>
      <w:rFonts w:ascii="Arial" w:hAnsi="Arial" w:eastAsia="Arial" w:cs="Arial"/>
      <w:sz w:val="40"/>
      <w:szCs w:val="40"/>
    </w:rPr>
  </w:style>
  <w:style w:type="character" w:styleId="15">
    <w:name w:val="Heading 2 Char"/>
    <w:basedOn w:val="632"/>
    <w:link w:val="629"/>
    <w:uiPriority w:val="9"/>
    <w:rPr>
      <w:rFonts w:ascii="Arial" w:hAnsi="Arial" w:eastAsia="Arial" w:cs="Arial"/>
      <w:sz w:val="34"/>
    </w:rPr>
  </w:style>
  <w:style w:type="character" w:styleId="17">
    <w:name w:val="Heading 3 Char"/>
    <w:basedOn w:val="632"/>
    <w:link w:val="630"/>
    <w:uiPriority w:val="9"/>
    <w:rPr>
      <w:rFonts w:ascii="Arial" w:hAnsi="Arial" w:eastAsia="Arial" w:cs="Arial"/>
      <w:sz w:val="30"/>
      <w:szCs w:val="30"/>
    </w:rPr>
  </w:style>
  <w:style w:type="character" w:styleId="19">
    <w:name w:val="Heading 4 Char"/>
    <w:basedOn w:val="632"/>
    <w:link w:val="631"/>
    <w:uiPriority w:val="9"/>
    <w:rPr>
      <w:rFonts w:ascii="Arial" w:hAnsi="Arial" w:eastAsia="Arial" w:cs="Arial"/>
      <w:b/>
      <w:bCs/>
      <w:sz w:val="26"/>
      <w:szCs w:val="26"/>
    </w:rPr>
  </w:style>
  <w:style w:type="paragraph" w:styleId="20">
    <w:name w:val="Heading 5"/>
    <w:basedOn w:val="627"/>
    <w:next w:val="6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2"/>
    <w:link w:val="20"/>
    <w:uiPriority w:val="9"/>
    <w:rPr>
      <w:rFonts w:ascii="Arial" w:hAnsi="Arial" w:eastAsia="Arial" w:cs="Arial"/>
      <w:b/>
      <w:bCs/>
      <w:sz w:val="24"/>
      <w:szCs w:val="24"/>
    </w:rPr>
  </w:style>
  <w:style w:type="paragraph" w:styleId="22">
    <w:name w:val="Heading 6"/>
    <w:basedOn w:val="627"/>
    <w:next w:val="6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2"/>
    <w:link w:val="22"/>
    <w:uiPriority w:val="9"/>
    <w:rPr>
      <w:rFonts w:ascii="Arial" w:hAnsi="Arial" w:eastAsia="Arial" w:cs="Arial"/>
      <w:b/>
      <w:bCs/>
      <w:sz w:val="22"/>
      <w:szCs w:val="22"/>
    </w:rPr>
  </w:style>
  <w:style w:type="paragraph" w:styleId="24">
    <w:name w:val="Heading 7"/>
    <w:basedOn w:val="627"/>
    <w:next w:val="6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2"/>
    <w:link w:val="24"/>
    <w:uiPriority w:val="9"/>
    <w:rPr>
      <w:rFonts w:ascii="Arial" w:hAnsi="Arial" w:eastAsia="Arial" w:cs="Arial"/>
      <w:b/>
      <w:bCs/>
      <w:i/>
      <w:iCs/>
      <w:sz w:val="22"/>
      <w:szCs w:val="22"/>
    </w:rPr>
  </w:style>
  <w:style w:type="paragraph" w:styleId="26">
    <w:name w:val="Heading 8"/>
    <w:basedOn w:val="627"/>
    <w:next w:val="6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2"/>
    <w:link w:val="26"/>
    <w:uiPriority w:val="9"/>
    <w:rPr>
      <w:rFonts w:ascii="Arial" w:hAnsi="Arial" w:eastAsia="Arial" w:cs="Arial"/>
      <w:i/>
      <w:iCs/>
      <w:sz w:val="22"/>
      <w:szCs w:val="22"/>
    </w:rPr>
  </w:style>
  <w:style w:type="paragraph" w:styleId="28">
    <w:name w:val="Heading 9"/>
    <w:basedOn w:val="627"/>
    <w:next w:val="6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2"/>
    <w:link w:val="28"/>
    <w:uiPriority w:val="9"/>
    <w:rPr>
      <w:rFonts w:ascii="Arial" w:hAnsi="Arial" w:eastAsia="Arial" w:cs="Arial"/>
      <w:i/>
      <w:iCs/>
      <w:sz w:val="21"/>
      <w:szCs w:val="21"/>
    </w:rPr>
  </w:style>
  <w:style w:type="paragraph" w:styleId="30">
    <w:name w:val="List Paragraph"/>
    <w:basedOn w:val="6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7"/>
    <w:next w:val="627"/>
    <w:link w:val="34"/>
    <w:uiPriority w:val="10"/>
    <w:qFormat/>
    <w:pPr>
      <w:contextualSpacing/>
      <w:spacing w:before="300" w:after="200"/>
    </w:pPr>
    <w:rPr>
      <w:sz w:val="48"/>
      <w:szCs w:val="48"/>
    </w:rPr>
  </w:style>
  <w:style w:type="character" w:styleId="34">
    <w:name w:val="Title Char"/>
    <w:basedOn w:val="632"/>
    <w:link w:val="33"/>
    <w:uiPriority w:val="10"/>
    <w:rPr>
      <w:sz w:val="48"/>
      <w:szCs w:val="48"/>
    </w:rPr>
  </w:style>
  <w:style w:type="paragraph" w:styleId="35">
    <w:name w:val="Subtitle"/>
    <w:basedOn w:val="627"/>
    <w:next w:val="627"/>
    <w:link w:val="36"/>
    <w:uiPriority w:val="11"/>
    <w:qFormat/>
    <w:pPr>
      <w:spacing w:before="200" w:after="200"/>
    </w:pPr>
    <w:rPr>
      <w:sz w:val="24"/>
      <w:szCs w:val="24"/>
    </w:rPr>
  </w:style>
  <w:style w:type="character" w:styleId="36">
    <w:name w:val="Subtitle Char"/>
    <w:basedOn w:val="632"/>
    <w:link w:val="35"/>
    <w:uiPriority w:val="11"/>
    <w:rPr>
      <w:sz w:val="24"/>
      <w:szCs w:val="24"/>
    </w:rPr>
  </w:style>
  <w:style w:type="paragraph" w:styleId="37">
    <w:name w:val="Quote"/>
    <w:basedOn w:val="627"/>
    <w:next w:val="627"/>
    <w:link w:val="38"/>
    <w:uiPriority w:val="29"/>
    <w:qFormat/>
    <w:pPr>
      <w:ind w:left="720" w:right="720"/>
    </w:pPr>
    <w:rPr>
      <w:i/>
    </w:rPr>
  </w:style>
  <w:style w:type="character" w:styleId="38">
    <w:name w:val="Quote Char"/>
    <w:link w:val="37"/>
    <w:uiPriority w:val="29"/>
    <w:rPr>
      <w:i/>
    </w:rPr>
  </w:style>
  <w:style w:type="paragraph" w:styleId="39">
    <w:name w:val="Intense Quote"/>
    <w:basedOn w:val="627"/>
    <w:next w:val="6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2"/>
    <w:link w:val="642"/>
    <w:uiPriority w:val="99"/>
  </w:style>
  <w:style w:type="character" w:styleId="44">
    <w:name w:val="Footer Char"/>
    <w:basedOn w:val="632"/>
    <w:link w:val="641"/>
    <w:uiPriority w:val="99"/>
  </w:style>
  <w:style w:type="paragraph" w:styleId="45">
    <w:name w:val="Caption"/>
    <w:basedOn w:val="627"/>
    <w:next w:val="627"/>
    <w:uiPriority w:val="35"/>
    <w:semiHidden/>
    <w:unhideWhenUsed/>
    <w:qFormat/>
    <w:pPr>
      <w:spacing w:line="276" w:lineRule="auto"/>
    </w:pPr>
    <w:rPr>
      <w:b/>
      <w:bCs/>
      <w:color w:val="4f81bd" w:themeColor="accent1"/>
      <w:sz w:val="18"/>
      <w:szCs w:val="18"/>
    </w:rPr>
  </w:style>
  <w:style w:type="character" w:styleId="46">
    <w:name w:val="Caption Char"/>
    <w:basedOn w:val="45"/>
    <w:link w:val="641"/>
    <w:uiPriority w:val="99"/>
  </w:style>
  <w:style w:type="table" w:styleId="48">
    <w:name w:val="Table Grid Light"/>
    <w:basedOn w:val="6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2"/>
    <w:uiPriority w:val="99"/>
    <w:unhideWhenUsed/>
    <w:rPr>
      <w:vertAlign w:val="superscript"/>
    </w:rPr>
  </w:style>
  <w:style w:type="paragraph" w:styleId="177">
    <w:name w:val="endnote text"/>
    <w:basedOn w:val="6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2"/>
    <w:uiPriority w:val="99"/>
    <w:semiHidden/>
    <w:unhideWhenUsed/>
    <w:rPr>
      <w:vertAlign w:val="superscript"/>
    </w:rPr>
  </w:style>
  <w:style w:type="paragraph" w:styleId="180">
    <w:name w:val="toc 1"/>
    <w:basedOn w:val="627"/>
    <w:next w:val="627"/>
    <w:uiPriority w:val="39"/>
    <w:unhideWhenUsed/>
    <w:pPr>
      <w:ind w:left="0" w:right="0" w:firstLine="0"/>
      <w:spacing w:after="57"/>
    </w:pPr>
  </w:style>
  <w:style w:type="paragraph" w:styleId="181">
    <w:name w:val="toc 2"/>
    <w:basedOn w:val="627"/>
    <w:next w:val="627"/>
    <w:uiPriority w:val="39"/>
    <w:unhideWhenUsed/>
    <w:pPr>
      <w:ind w:left="283" w:right="0" w:firstLine="0"/>
      <w:spacing w:after="57"/>
    </w:pPr>
  </w:style>
  <w:style w:type="paragraph" w:styleId="182">
    <w:name w:val="toc 3"/>
    <w:basedOn w:val="627"/>
    <w:next w:val="627"/>
    <w:uiPriority w:val="39"/>
    <w:unhideWhenUsed/>
    <w:pPr>
      <w:ind w:left="567" w:right="0" w:firstLine="0"/>
      <w:spacing w:after="57"/>
    </w:pPr>
  </w:style>
  <w:style w:type="paragraph" w:styleId="183">
    <w:name w:val="toc 4"/>
    <w:basedOn w:val="627"/>
    <w:next w:val="627"/>
    <w:uiPriority w:val="39"/>
    <w:unhideWhenUsed/>
    <w:pPr>
      <w:ind w:left="850" w:right="0" w:firstLine="0"/>
      <w:spacing w:after="57"/>
    </w:pPr>
  </w:style>
  <w:style w:type="paragraph" w:styleId="184">
    <w:name w:val="toc 5"/>
    <w:basedOn w:val="627"/>
    <w:next w:val="627"/>
    <w:uiPriority w:val="39"/>
    <w:unhideWhenUsed/>
    <w:pPr>
      <w:ind w:left="1134" w:right="0" w:firstLine="0"/>
      <w:spacing w:after="57"/>
    </w:pPr>
  </w:style>
  <w:style w:type="paragraph" w:styleId="185">
    <w:name w:val="toc 6"/>
    <w:basedOn w:val="627"/>
    <w:next w:val="627"/>
    <w:uiPriority w:val="39"/>
    <w:unhideWhenUsed/>
    <w:pPr>
      <w:ind w:left="1417" w:right="0" w:firstLine="0"/>
      <w:spacing w:after="57"/>
    </w:pPr>
  </w:style>
  <w:style w:type="paragraph" w:styleId="186">
    <w:name w:val="toc 7"/>
    <w:basedOn w:val="627"/>
    <w:next w:val="627"/>
    <w:uiPriority w:val="39"/>
    <w:unhideWhenUsed/>
    <w:pPr>
      <w:ind w:left="1701" w:right="0" w:firstLine="0"/>
      <w:spacing w:after="57"/>
    </w:pPr>
  </w:style>
  <w:style w:type="paragraph" w:styleId="187">
    <w:name w:val="toc 8"/>
    <w:basedOn w:val="627"/>
    <w:next w:val="627"/>
    <w:uiPriority w:val="39"/>
    <w:unhideWhenUsed/>
    <w:pPr>
      <w:ind w:left="1984" w:right="0" w:firstLine="0"/>
      <w:spacing w:after="57"/>
    </w:pPr>
  </w:style>
  <w:style w:type="paragraph" w:styleId="188">
    <w:name w:val="toc 9"/>
    <w:basedOn w:val="627"/>
    <w:next w:val="6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7"/>
    <w:next w:val="627"/>
    <w:uiPriority w:val="99"/>
    <w:unhideWhenUsed/>
    <w:pPr>
      <w:spacing w:after="0" w:afterAutospacing="0"/>
    </w:pPr>
  </w:style>
  <w:style w:type="paragraph" w:styleId="627" w:default="1">
    <w:name w:val="Normal"/>
    <w:next w:val="634"/>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28">
    <w:name w:val="Heading 1"/>
    <w:basedOn w:val="627"/>
    <w:next w:val="627"/>
    <w:uiPriority w:val="9"/>
    <w:qFormat/>
    <w:pPr>
      <w:keepLines/>
      <w:keepNext/>
      <w:spacing w:before="480" w:after="200"/>
      <w:outlineLvl w:val="0"/>
    </w:pPr>
    <w:rPr>
      <w:rFonts w:ascii="Arial" w:hAnsi="Arial" w:eastAsia="Arial" w:cs="Arial"/>
      <w:sz w:val="40"/>
      <w:szCs w:val="40"/>
    </w:rPr>
  </w:style>
  <w:style w:type="paragraph" w:styleId="629">
    <w:name w:val="Heading 2"/>
    <w:basedOn w:val="627"/>
    <w:next w:val="62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30">
    <w:name w:val="Heading 3"/>
    <w:basedOn w:val="627"/>
    <w:next w:val="627"/>
    <w:uiPriority w:val="9"/>
    <w:qFormat/>
    <w:pPr>
      <w:numPr>
        <w:ilvl w:val="2"/>
        <w:numId w:val="1"/>
      </w:numPr>
      <w:keepLines/>
      <w:keepNext/>
      <w:spacing w:before="260" w:after="260" w:line="416" w:lineRule="auto"/>
      <w:outlineLvl w:val="2"/>
    </w:pPr>
    <w:rPr>
      <w:b/>
      <w:bCs/>
      <w:sz w:val="32"/>
      <w:szCs w:val="32"/>
    </w:rPr>
  </w:style>
  <w:style w:type="paragraph" w:styleId="631">
    <w:name w:val="Heading 4"/>
    <w:basedOn w:val="627"/>
    <w:next w:val="627"/>
    <w:uiPriority w:val="9"/>
    <w:qFormat/>
    <w:pPr>
      <w:numPr>
        <w:ilvl w:val="3"/>
        <w:numId w:val="1"/>
      </w:numPr>
      <w:keepLines/>
      <w:keepNext/>
      <w:spacing w:before="280" w:after="290" w:line="376" w:lineRule="auto"/>
      <w:outlineLvl w:val="3"/>
    </w:pPr>
    <w:rPr>
      <w:rFonts w:ascii="Cambria" w:hAnsi="Cambria"/>
      <w:b/>
      <w:bCs/>
      <w:sz w:val="28"/>
      <w:szCs w:val="28"/>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name w:val="Body Text Indent 2"/>
    <w:basedOn w:val="627"/>
    <w:uiPriority w:val="0"/>
    <w:qFormat/>
    <w:rPr>
      <w:rFonts w:ascii="Arial" w:hAnsi="Arial" w:eastAsia="仿宋_GB2312"/>
      <w:b/>
    </w:rPr>
  </w:style>
  <w:style w:type="paragraph" w:styleId="635">
    <w:name w:val="Note Heading"/>
    <w:basedOn w:val="627"/>
    <w:next w:val="627"/>
    <w:uiPriority w:val="0"/>
    <w:qFormat/>
    <w:rPr>
      <w:rFonts w:ascii="Verdana" w:hAnsi="Verdana" w:cs="Times New Roman"/>
      <w:szCs w:val="20"/>
    </w:rPr>
  </w:style>
  <w:style w:type="paragraph" w:styleId="636">
    <w:name w:val="annotation text"/>
    <w:basedOn w:val="627"/>
    <w:uiPriority w:val="0"/>
    <w:qFormat/>
    <w:pPr>
      <w:jc w:val="left"/>
    </w:pPr>
  </w:style>
  <w:style w:type="paragraph" w:styleId="637">
    <w:name w:val="Body Text"/>
    <w:basedOn w:val="627"/>
    <w:next w:val="627"/>
    <w:uiPriority w:val="0"/>
    <w:unhideWhenUsed/>
    <w:qFormat/>
    <w:pPr>
      <w:spacing w:after="120"/>
    </w:pPr>
    <w:rPr>
      <w:rFonts w:ascii="Calibri" w:hAnsi="Calibri"/>
      <w:szCs w:val="22"/>
    </w:rPr>
  </w:style>
  <w:style w:type="paragraph" w:styleId="638">
    <w:name w:val="Body Text Indent"/>
    <w:basedOn w:val="627"/>
    <w:next w:val="639"/>
    <w:uiPriority w:val="99"/>
    <w:qFormat/>
    <w:pPr>
      <w:ind w:firstLine="645"/>
    </w:pPr>
    <w:rPr>
      <w:rFonts w:ascii="楷体_GB2312" w:eastAsia="楷体_GB2312"/>
      <w:sz w:val="32"/>
      <w:szCs w:val="32"/>
    </w:rPr>
  </w:style>
  <w:style w:type="paragraph" w:styleId="639">
    <w:name w:val="envelope return"/>
    <w:basedOn w:val="627"/>
    <w:uiPriority w:val="99"/>
    <w:unhideWhenUsed/>
    <w:qFormat/>
    <w:rPr>
      <w:rFonts w:ascii="Arial" w:hAnsi="Arial"/>
    </w:rPr>
  </w:style>
  <w:style w:type="paragraph" w:styleId="640">
    <w:name w:val="Plain Text"/>
    <w:basedOn w:val="627"/>
    <w:uiPriority w:val="0"/>
    <w:unhideWhenUsed/>
    <w:qFormat/>
    <w:rPr>
      <w:rFonts w:ascii="宋体" w:hAnsi="Courier New" w:cs="Courier New"/>
      <w:szCs w:val="21"/>
    </w:rPr>
  </w:style>
  <w:style w:type="paragraph" w:styleId="641">
    <w:name w:val="Footer"/>
    <w:basedOn w:val="627"/>
    <w:link w:val="651"/>
    <w:uiPriority w:val="0"/>
    <w:qFormat/>
    <w:pPr>
      <w:jc w:val="left"/>
      <w:tabs>
        <w:tab w:val="center" w:pos="4153" w:leader="none"/>
        <w:tab w:val="right" w:pos="8306" w:leader="none"/>
      </w:tabs>
    </w:pPr>
    <w:rPr>
      <w:sz w:val="18"/>
      <w:szCs w:val="18"/>
    </w:rPr>
  </w:style>
  <w:style w:type="paragraph" w:styleId="642">
    <w:name w:val="Header"/>
    <w:basedOn w:val="627"/>
    <w:link w:val="650"/>
    <w:uiPriority w:val="0"/>
    <w:qFormat/>
    <w:pPr>
      <w:jc w:val="center"/>
      <w:tabs>
        <w:tab w:val="center" w:pos="4153" w:leader="none"/>
        <w:tab w:val="right" w:pos="8306" w:leader="none"/>
      </w:tabs>
      <w:pBdr>
        <w:bottom w:val="single" w:color="auto" w:sz="6" w:space="1"/>
      </w:pBdr>
    </w:pPr>
    <w:rPr>
      <w:sz w:val="18"/>
      <w:szCs w:val="18"/>
    </w:rPr>
  </w:style>
  <w:style w:type="paragraph" w:styleId="643">
    <w:name w:val="Normal (Web)"/>
    <w:basedOn w:val="627"/>
    <w:uiPriority w:val="0"/>
    <w:qFormat/>
    <w:pPr>
      <w:jc w:val="left"/>
      <w:spacing w:beforeAutospacing="1" w:afterAutospacing="1"/>
    </w:pPr>
    <w:rPr>
      <w:rFonts w:cs="Times New Roman"/>
      <w:sz w:val="24"/>
    </w:rPr>
  </w:style>
  <w:style w:type="paragraph" w:styleId="644">
    <w:name w:val="Body Text First Indent"/>
    <w:basedOn w:val="637"/>
    <w:uiPriority w:val="0"/>
    <w:qFormat/>
    <w:pPr>
      <w:ind w:firstLine="420"/>
    </w:pPr>
  </w:style>
  <w:style w:type="paragraph" w:styleId="645">
    <w:name w:val="Body Text First Indent 2"/>
    <w:basedOn w:val="638"/>
    <w:next w:val="627"/>
    <w:uiPriority w:val="0"/>
    <w:qFormat/>
    <w:pPr>
      <w:ind w:firstLine="420"/>
    </w:pPr>
  </w:style>
  <w:style w:type="table" w:styleId="6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7">
    <w:name w:val="Strong"/>
    <w:basedOn w:val="632"/>
    <w:uiPriority w:val="0"/>
    <w:qFormat/>
    <w:rPr>
      <w:b/>
    </w:rPr>
  </w:style>
  <w:style w:type="character" w:styleId="648">
    <w:name w:val="Hyperlink"/>
    <w:basedOn w:val="632"/>
    <w:uiPriority w:val="99"/>
    <w:unhideWhenUsed/>
    <w:qFormat/>
    <w:rPr>
      <w:color w:val="0563c1" w:themeColor="hyperlink"/>
      <w:u w:val="single"/>
      <w14:textFill>
        <w14:solidFill>
          <w14:schemeClr w14:val="hlink"/>
        </w14:solidFill>
      </w14:textFill>
    </w:rPr>
  </w:style>
  <w:style w:type="paragraph" w:styleId="649" w:customStyle="1">
    <w:name w:val="Default"/>
    <w:basedOn w:val="627"/>
    <w:uiPriority w:val="0"/>
    <w:semiHidden/>
    <w:qFormat/>
    <w:pPr>
      <w:jc w:val="left"/>
    </w:pPr>
    <w:rPr>
      <w:rFonts w:ascii="宋体" w:hAnsi="Calibri" w:cs="宋体"/>
      <w:color w:val="000000"/>
      <w:sz w:val="24"/>
    </w:rPr>
  </w:style>
  <w:style w:type="character" w:styleId="650" w:customStyle="1">
    <w:name w:val="页眉 Char"/>
    <w:basedOn w:val="632"/>
    <w:link w:val="642"/>
    <w:uiPriority w:val="0"/>
    <w:qFormat/>
    <w:rPr>
      <w:rFonts w:asciiTheme="minorHAnsi" w:hAnsiTheme="minorHAnsi" w:eastAsiaTheme="minorEastAsia" w:cstheme="minorBidi"/>
      <w:sz w:val="18"/>
      <w:szCs w:val="18"/>
    </w:rPr>
  </w:style>
  <w:style w:type="character" w:styleId="651" w:customStyle="1">
    <w:name w:val="页脚 Char"/>
    <w:basedOn w:val="632"/>
    <w:link w:val="641"/>
    <w:uiPriority w:val="0"/>
    <w:qFormat/>
    <w:rPr>
      <w:rFonts w:asciiTheme="minorHAnsi" w:hAnsiTheme="minorHAnsi" w:eastAsiaTheme="minorEastAsia" w:cstheme="minorBidi"/>
      <w:sz w:val="18"/>
      <w:szCs w:val="18"/>
    </w:rPr>
  </w:style>
  <w:style w:type="paragraph" w:styleId="65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53" w:customStyle="1">
    <w:name w:val="页脚1"/>
    <w:basedOn w:val="627"/>
    <w:uiPriority w:val="99"/>
    <w:unhideWhenUsed/>
    <w:qFormat/>
    <w:pPr>
      <w:jc w:val="left"/>
      <w:tabs>
        <w:tab w:val="center" w:pos="4153" w:leader="none"/>
        <w:tab w:val="right" w:pos="8306" w:leader="none"/>
      </w:tabs>
    </w:pPr>
    <w:rPr>
      <w:sz w:val="18"/>
      <w:szCs w:val="18"/>
    </w:rPr>
  </w:style>
  <w:style w:type="paragraph" w:styleId="654" w:customStyle="1">
    <w:name w:val="普通正文"/>
    <w:basedOn w:val="627"/>
    <w:uiPriority w:val="0"/>
    <w:qFormat/>
    <w:pPr>
      <w:ind w:firstLine="480"/>
      <w:jc w:val="left"/>
      <w:spacing w:before="120" w:after="120" w:line="360" w:lineRule="auto"/>
    </w:pPr>
    <w:rPr>
      <w:rFonts w:ascii="Arial" w:hAnsi="Arial" w:eastAsia="等线" w:cs="Arial"/>
      <w:sz w:val="24"/>
    </w:rPr>
  </w:style>
  <w:style w:type="paragraph" w:styleId="655" w:customStyle="1">
    <w:name w:val="正文首行缩进 21"/>
    <w:basedOn w:val="656"/>
    <w:uiPriority w:val="0"/>
    <w:qFormat/>
    <w:pPr>
      <w:ind w:firstLine="420"/>
    </w:pPr>
  </w:style>
  <w:style w:type="paragraph" w:styleId="656" w:customStyle="1">
    <w:name w:val="正文文本缩进1"/>
    <w:basedOn w:val="627"/>
    <w:uiPriority w:val="0"/>
    <w:qFormat/>
    <w:pPr>
      <w:ind w:left="420"/>
      <w:spacing w:after="120"/>
    </w:pPr>
  </w:style>
  <w:style w:type="paragraph" w:styleId="657" w:customStyle="1">
    <w:name w:val="正文11"/>
    <w:next w:val="658"/>
    <w:uiPriority w:val="0"/>
    <w:qFormat/>
    <w:pPr>
      <w:jc w:val="both"/>
      <w:widowControl w:val="off"/>
    </w:pPr>
    <w:rPr>
      <w:rFonts w:ascii="Times New Roman" w:hAnsi="Times New Roman" w:eastAsia="宋体" w:cs="Times New Roman"/>
      <w:sz w:val="21"/>
      <w:szCs w:val="24"/>
      <w:lang w:val="en-US" w:eastAsia="zh-CN" w:bidi="ar-SA"/>
    </w:rPr>
  </w:style>
  <w:style w:type="paragraph" w:styleId="658" w:customStyle="1">
    <w:name w:val="目录 11"/>
    <w:basedOn w:val="659"/>
    <w:next w:val="659"/>
    <w:uiPriority w:val="0"/>
    <w:qFormat/>
  </w:style>
  <w:style w:type="paragraph" w:styleId="659" w:customStyle="1">
    <w:name w:val="正文12"/>
    <w:next w:val="660"/>
    <w:uiPriority w:val="0"/>
    <w:qFormat/>
    <w:pPr>
      <w:jc w:val="both"/>
      <w:widowControl w:val="off"/>
    </w:pPr>
    <w:rPr>
      <w:rFonts w:ascii="Calibri" w:hAnsi="Calibri" w:eastAsia="Calibri" w:cs="Times New Roman"/>
      <w:sz w:val="21"/>
      <w:szCs w:val="24"/>
      <w:lang w:val="en-US" w:eastAsia="zh-CN" w:bidi="ar-SA"/>
    </w:rPr>
  </w:style>
  <w:style w:type="paragraph" w:styleId="660" w:customStyle="1">
    <w:name w:val="正文文本111"/>
    <w:basedOn w:val="659"/>
    <w:next w:val="659"/>
    <w:uiPriority w:val="0"/>
    <w:qFormat/>
  </w:style>
  <w:style w:type="paragraph" w:styleId="661" w:customStyle="1">
    <w:name w:val="列表段落1"/>
    <w:basedOn w:val="627"/>
    <w:uiPriority w:val="34"/>
    <w:qFormat/>
    <w:pPr>
      <w:ind w:firstLine="420"/>
    </w:pPr>
  </w:style>
  <w:style w:type="paragraph" w:styleId="662" w:customStyle="1">
    <w:name w:val="Table Text"/>
    <w:basedOn w:val="627"/>
    <w:uiPriority w:val="0"/>
    <w:semiHidden/>
    <w:qFormat/>
    <w:rPr>
      <w:rFonts w:ascii="Arial" w:hAnsi="Arial" w:eastAsia="Arial" w:cs="Arial"/>
      <w:sz w:val="21"/>
      <w:szCs w:val="21"/>
      <w:lang w:val="en-US" w:eastAsia="en-US" w:bidi="ar-SA"/>
    </w:rPr>
  </w:style>
  <w:style w:type="numbering" w:styleId="78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何先生</cp:lastModifiedBy>
  <cp:revision>127</cp:revision>
  <dcterms:created xsi:type="dcterms:W3CDTF">2014-10-29T12:08:00Z</dcterms:created>
  <dcterms:modified xsi:type="dcterms:W3CDTF">2026-01-09T02:16:06Z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062A0F5E19994ACEBFBC3A80014086F9_13</vt:lpwstr>
  </property>
  <property fmtid="{D5CDD505-2E9C-101B-9397-08002B2CF9AE}" pid="4" name="KSOTemplateDocerSaveRecord">
    <vt:lpwstr>eyJoZGlkIjoiYzAxYzk1YmFlODA0YmNjN2I1MDFkZDdmMjhlYmNmNzciLCJ1c2VySWQiOiI5MjQ4NDE4MjkifQ==</vt:lpwstr>
  </property>
</Properties>
</file>